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FF457" w14:textId="77777777" w:rsidR="0065705D" w:rsidRDefault="0065705D" w:rsidP="0065705D">
      <w:pPr>
        <w:pStyle w:val="Heading1"/>
      </w:pPr>
      <w:r>
        <w:rPr>
          <w:noProof/>
        </w:rPr>
        <w:t xml:space="preserve">Pneumococcal Conjugate, 15-valent (PCV15) </w:t>
      </w:r>
      <w:r>
        <w:t>Routine, Catch-up &amp; At-Risk Vaccine Protocol</w:t>
      </w:r>
    </w:p>
    <w:p w14:paraId="40ED5D30" w14:textId="77777777" w:rsidR="0065705D" w:rsidRPr="004B3115" w:rsidRDefault="0065705D" w:rsidP="0065705D">
      <w:pPr>
        <w:pStyle w:val="Subtitle"/>
        <w:rPr>
          <w:color w:val="C00000"/>
        </w:rPr>
      </w:pPr>
      <w:r>
        <w:t xml:space="preserve">vaccine protocol for </w:t>
      </w:r>
      <w:r w:rsidRPr="00926635">
        <w:t xml:space="preserve">Persons Age </w:t>
      </w:r>
      <w:r>
        <w:t>6 weeks to 18 years</w:t>
      </w:r>
    </w:p>
    <w:p w14:paraId="6D1CC966" w14:textId="18B8DB9B" w:rsidR="0065705D" w:rsidRDefault="0065705D" w:rsidP="0065705D">
      <w:r w:rsidRPr="007D53F2">
        <w:rPr>
          <w:b/>
          <w:bCs/>
        </w:rPr>
        <w:t>Document reviewed and updated:</w:t>
      </w:r>
      <w:r>
        <w:t xml:space="preserve"> </w:t>
      </w:r>
      <w:r>
        <w:rPr>
          <w:b/>
          <w:bCs/>
          <w:color w:val="C00000"/>
        </w:rPr>
        <w:t>February 20, 2025</w:t>
      </w:r>
    </w:p>
    <w:p w14:paraId="04675036" w14:textId="77777777" w:rsidR="0065705D" w:rsidRDefault="0065705D" w:rsidP="0065705D">
      <w:pPr>
        <w:pStyle w:val="Heading2"/>
      </w:pPr>
      <w:r>
        <w:t>Condition for protocol</w:t>
      </w:r>
    </w:p>
    <w:p w14:paraId="0A7CC85D" w14:textId="77777777" w:rsidR="0065705D" w:rsidRPr="001E330E" w:rsidRDefault="0065705D" w:rsidP="0065705D">
      <w:r w:rsidRPr="001E330E">
        <w:t>To reduce incidence of morbidity and mortality of Streptococcus pneumoniae disease.</w:t>
      </w:r>
    </w:p>
    <w:p w14:paraId="701F59B8" w14:textId="77777777" w:rsidR="0065705D" w:rsidRDefault="0065705D" w:rsidP="0065705D">
      <w:pPr>
        <w:pStyle w:val="Heading2"/>
      </w:pPr>
      <w:r>
        <w:t>Policy of protocol</w:t>
      </w:r>
    </w:p>
    <w:p w14:paraId="7DC1E20C" w14:textId="77777777" w:rsidR="0065705D" w:rsidRDefault="0065705D" w:rsidP="0065705D">
      <w:r w:rsidRPr="001E330E">
        <w:t xml:space="preserve">The nurse will implement this protocol for pneumococcal conjugate, </w:t>
      </w:r>
      <w:r>
        <w:t>15</w:t>
      </w:r>
      <w:r w:rsidRPr="001E330E">
        <w:t>-valent (PCV</w:t>
      </w:r>
      <w:r>
        <w:t>15</w:t>
      </w:r>
      <w:r w:rsidRPr="001E330E">
        <w:t>) infant routine and catch-up vaccination.</w:t>
      </w:r>
      <w:r>
        <w:t xml:space="preserve"> </w:t>
      </w:r>
    </w:p>
    <w:p w14:paraId="1209F075" w14:textId="77777777" w:rsidR="0065705D" w:rsidRDefault="0065705D" w:rsidP="0065705D">
      <w:pPr>
        <w:pStyle w:val="Heading2"/>
      </w:pPr>
      <w:r>
        <w:t>Condition-specific criteria and prescribed actions</w:t>
      </w:r>
    </w:p>
    <w:p w14:paraId="66CD507C" w14:textId="4DAE5A13" w:rsidR="004061AA" w:rsidRPr="007D53F2" w:rsidRDefault="004061AA" w:rsidP="007D53F2">
      <w:pPr>
        <w:rPr>
          <w:bCs/>
          <w:color w:val="C00000"/>
        </w:rPr>
      </w:pPr>
      <w:r w:rsidRPr="007D53F2">
        <w:rPr>
          <w:b/>
          <w:bCs/>
          <w:color w:val="C00000"/>
        </w:rPr>
        <w:t xml:space="preserve">Delete this </w:t>
      </w:r>
      <w:r w:rsidR="0024538F" w:rsidRPr="007D53F2">
        <w:rPr>
          <w:b/>
          <w:bCs/>
          <w:color w:val="C00000"/>
        </w:rPr>
        <w:t xml:space="preserve">entire </w:t>
      </w:r>
      <w:r w:rsidRPr="007D53F2">
        <w:rPr>
          <w:b/>
          <w:bCs/>
          <w:color w:val="C00000"/>
        </w:rPr>
        <w:t xml:space="preserve">paragraph before </w:t>
      </w:r>
      <w:r w:rsidR="00DE784B" w:rsidRPr="007D53F2">
        <w:rPr>
          <w:b/>
          <w:bCs/>
          <w:color w:val="C00000"/>
        </w:rPr>
        <w:t>printing/</w:t>
      </w:r>
      <w:r w:rsidRPr="007D53F2">
        <w:rPr>
          <w:b/>
          <w:bCs/>
          <w:color w:val="C00000"/>
        </w:rPr>
        <w:t>signing protocol</w:t>
      </w:r>
      <w:r w:rsidR="008C3BED" w:rsidRPr="007D53F2">
        <w:rPr>
          <w:b/>
          <w:bCs/>
          <w:color w:val="C00000"/>
        </w:rPr>
        <w:t>.</w:t>
      </w:r>
    </w:p>
    <w:p w14:paraId="716DA5DE" w14:textId="3E78671C" w:rsidR="000B3E7D" w:rsidRDefault="33665C2D" w:rsidP="00066679">
      <w:pPr>
        <w:pStyle w:val="NormalLtBlueBackground"/>
      </w:pPr>
      <w:r>
        <w:t>[Instructions for persons adopting these protocols: The table below lists indication, contraindication, and precaution criteria and suggested prescribed actions that are necessary to implement the vaccine protocol. The prescribed actio</w:t>
      </w:r>
      <w:r w:rsidR="74ADC5E8">
        <w:t xml:space="preserve">ns include examples shown in </w:t>
      </w:r>
      <w:r w:rsidR="39A244AC">
        <w:t>brackets but</w:t>
      </w:r>
      <w:r>
        <w:t xml:space="preserve"> may not suit your institution’s clinical situation and may not include all possible actions. A licensed prescriber must review the criteria and actions and determine the appropriate prescribing action.]</w:t>
      </w:r>
    </w:p>
    <w:p w14:paraId="16811B2E" w14:textId="77777777" w:rsidR="000B3E7D" w:rsidRDefault="000B3E7D" w:rsidP="0015567C">
      <w:pPr>
        <w:pStyle w:val="TableorChartTitle"/>
        <w:jc w:val="left"/>
      </w:pPr>
      <w:r>
        <w:t>Indications</w:t>
      </w:r>
    </w:p>
    <w:tbl>
      <w:tblPr>
        <w:tblStyle w:val="MDHstyle"/>
        <w:tblpPr w:leftFromText="180" w:rightFromText="180" w:vertAnchor="text" w:tblpY="1"/>
        <w:tblOverlap w:val="never"/>
        <w:tblW w:w="10257" w:type="dxa"/>
        <w:tblLook w:val="04A0" w:firstRow="1" w:lastRow="0" w:firstColumn="1" w:lastColumn="0" w:noHBand="0" w:noVBand="1"/>
      </w:tblPr>
      <w:tblGrid>
        <w:gridCol w:w="5128"/>
        <w:gridCol w:w="5129"/>
      </w:tblGrid>
      <w:tr w:rsidR="0065705D" w:rsidRPr="008E470A" w14:paraId="00A5479E" w14:textId="77777777" w:rsidTr="008E09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5A63FF1B" w14:textId="77777777" w:rsidR="0065705D" w:rsidRPr="008E470A" w:rsidRDefault="0065705D" w:rsidP="0065705D">
            <w:pPr>
              <w:pStyle w:val="TableText-calibri10"/>
            </w:pPr>
            <w:r w:rsidRPr="008E470A">
              <w:t>Criteria</w:t>
            </w:r>
          </w:p>
        </w:tc>
        <w:tc>
          <w:tcPr>
            <w:tcW w:w="5129" w:type="dxa"/>
          </w:tcPr>
          <w:p w14:paraId="493E934A" w14:textId="77777777" w:rsidR="0065705D" w:rsidRPr="008E470A" w:rsidRDefault="0065705D" w:rsidP="0065705D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E470A">
              <w:t>Prescribed action</w:t>
            </w:r>
          </w:p>
        </w:tc>
      </w:tr>
      <w:tr w:rsidR="0065705D" w:rsidRPr="008E470A" w14:paraId="3A542A15" w14:textId="77777777" w:rsidTr="008E0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5FB921AF" w14:textId="77777777" w:rsidR="0065705D" w:rsidRPr="008E470A" w:rsidRDefault="0065705D" w:rsidP="0065705D">
            <w:pPr>
              <w:pStyle w:val="TableText-calibri10"/>
            </w:pPr>
            <w:r w:rsidRPr="00CB352E">
              <w:t>Currently healthy infant between the age of 6 weeks and 15 months.</w:t>
            </w:r>
          </w:p>
        </w:tc>
        <w:tc>
          <w:tcPr>
            <w:tcW w:w="5129" w:type="dxa"/>
          </w:tcPr>
          <w:p w14:paraId="5C4E13A3" w14:textId="77777777" w:rsidR="0065705D" w:rsidRPr="008E470A" w:rsidRDefault="0065705D" w:rsidP="0065705D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52E">
              <w:t>Proceed to vaccinate if meets remaining criteria.</w:t>
            </w:r>
          </w:p>
        </w:tc>
      </w:tr>
      <w:tr w:rsidR="0065705D" w:rsidRPr="008E470A" w14:paraId="2C8A7721" w14:textId="77777777" w:rsidTr="008E0998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49DF479D" w14:textId="77777777" w:rsidR="0065705D" w:rsidRPr="008E470A" w:rsidRDefault="0065705D" w:rsidP="0065705D">
            <w:pPr>
              <w:pStyle w:val="TableText-calibri10"/>
            </w:pPr>
            <w:r w:rsidRPr="00CB352E">
              <w:t>Infant is less than age 6 weeks.</w:t>
            </w:r>
          </w:p>
        </w:tc>
        <w:tc>
          <w:tcPr>
            <w:tcW w:w="5129" w:type="dxa"/>
          </w:tcPr>
          <w:p w14:paraId="15CB1FAA" w14:textId="77777777" w:rsidR="0065705D" w:rsidRPr="008E470A" w:rsidRDefault="0065705D" w:rsidP="0065705D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352E">
              <w:t>Do not vaccinate; reschedule vaccination when child meets age criteria.</w:t>
            </w:r>
          </w:p>
        </w:tc>
      </w:tr>
      <w:tr w:rsidR="0065705D" w:rsidRPr="008E470A" w14:paraId="5D711F6D" w14:textId="77777777" w:rsidTr="008E0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5708F392" w14:textId="77777777" w:rsidR="0065705D" w:rsidRPr="00CB352E" w:rsidRDefault="0065705D" w:rsidP="0065705D">
            <w:pPr>
              <w:pStyle w:val="TableText-calibri10"/>
              <w:rPr>
                <w:rStyle w:val="Strong"/>
                <w:bCs/>
                <w:sz w:val="24"/>
              </w:rPr>
            </w:pPr>
            <w:r w:rsidRPr="00CB352E">
              <w:t>Child is 15 months or older.</w:t>
            </w:r>
          </w:p>
        </w:tc>
        <w:tc>
          <w:tcPr>
            <w:tcW w:w="5129" w:type="dxa"/>
          </w:tcPr>
          <w:p w14:paraId="0D7505ED" w14:textId="77777777" w:rsidR="0065705D" w:rsidRPr="008E470A" w:rsidRDefault="0065705D" w:rsidP="0065705D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Proceed to vaccine </w:t>
            </w:r>
            <w:r w:rsidRPr="00CB352E">
              <w:t>using the catch-up schedule.</w:t>
            </w:r>
          </w:p>
        </w:tc>
      </w:tr>
      <w:tr w:rsidR="0065705D" w:rsidRPr="008E470A" w14:paraId="5B29CC50" w14:textId="77777777" w:rsidTr="008E0998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57CF79A1" w14:textId="77777777" w:rsidR="0065705D" w:rsidRPr="00CB352E" w:rsidRDefault="0065705D" w:rsidP="0065705D">
            <w:pPr>
              <w:pStyle w:val="TableText-calibri10"/>
            </w:pPr>
            <w:r>
              <w:t>Child is more than 1 month behind routine schedule.</w:t>
            </w:r>
          </w:p>
        </w:tc>
        <w:tc>
          <w:tcPr>
            <w:tcW w:w="5129" w:type="dxa"/>
          </w:tcPr>
          <w:p w14:paraId="4D79F7F2" w14:textId="77777777" w:rsidR="0065705D" w:rsidRPr="008E470A" w:rsidRDefault="0065705D" w:rsidP="0065705D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Proceed to vaccine </w:t>
            </w:r>
            <w:r w:rsidRPr="00CB352E">
              <w:t>using the catch-up schedule.</w:t>
            </w:r>
          </w:p>
        </w:tc>
      </w:tr>
      <w:tr w:rsidR="0065705D" w:rsidRPr="008E470A" w14:paraId="5EEC3DC9" w14:textId="77777777" w:rsidTr="008E0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6D900B40" w14:textId="77777777" w:rsidR="0065705D" w:rsidRDefault="0065705D" w:rsidP="0065705D">
            <w:pPr>
              <w:pStyle w:val="TableText-calibri10"/>
            </w:pPr>
            <w:r>
              <w:t>Child less than 6 years who started the series with PCV13, PCV15 or PCV20.</w:t>
            </w:r>
          </w:p>
        </w:tc>
        <w:tc>
          <w:tcPr>
            <w:tcW w:w="5129" w:type="dxa"/>
          </w:tcPr>
          <w:p w14:paraId="4A0C8F8F" w14:textId="77777777" w:rsidR="0065705D" w:rsidRDefault="0065705D" w:rsidP="0065705D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Proceed to vaccine using PCV15 for remaining doses. No need to restart series or give any additional doses.</w:t>
            </w:r>
          </w:p>
        </w:tc>
      </w:tr>
      <w:tr w:rsidR="0065705D" w:rsidRPr="008E470A" w14:paraId="2F22B9A8" w14:textId="77777777" w:rsidTr="008E0998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80B23E2" w14:textId="77777777" w:rsidR="0065705D" w:rsidRDefault="0065705D" w:rsidP="0065705D">
            <w:pPr>
              <w:pStyle w:val="TableText-calibri10"/>
            </w:pPr>
            <w:r w:rsidRPr="00890A86">
              <w:t>Child had a prior infection of pneumococcal disease.</w:t>
            </w:r>
          </w:p>
        </w:tc>
        <w:tc>
          <w:tcPr>
            <w:tcW w:w="5129" w:type="dxa"/>
          </w:tcPr>
          <w:p w14:paraId="4E6C631A" w14:textId="77777777" w:rsidR="0065705D" w:rsidRPr="008E470A" w:rsidRDefault="0065705D" w:rsidP="0065705D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0A86">
              <w:t>Still indicated; proceed to vaccinate.</w:t>
            </w:r>
          </w:p>
        </w:tc>
      </w:tr>
      <w:tr w:rsidR="0065705D" w:rsidRPr="008E470A" w14:paraId="1ED8EC27" w14:textId="77777777" w:rsidTr="008E0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62393A5F" w14:textId="77777777" w:rsidR="0065705D" w:rsidRPr="00890A86" w:rsidRDefault="0065705D" w:rsidP="0065705D">
            <w:pPr>
              <w:pStyle w:val="TableText-calibri10"/>
            </w:pPr>
            <w:r>
              <w:t xml:space="preserve">Currently healthy child 5-18 years old who has not received any PCV or has an incomplete PCV series. </w:t>
            </w:r>
          </w:p>
        </w:tc>
        <w:tc>
          <w:tcPr>
            <w:tcW w:w="5129" w:type="dxa"/>
          </w:tcPr>
          <w:p w14:paraId="48812E45" w14:textId="77777777" w:rsidR="0065705D" w:rsidRPr="00890A86" w:rsidRDefault="0065705D" w:rsidP="0065705D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No additional dose indicated. </w:t>
            </w:r>
          </w:p>
        </w:tc>
      </w:tr>
      <w:tr w:rsidR="0065705D" w:rsidRPr="008E470A" w14:paraId="27439C39" w14:textId="77777777" w:rsidTr="008E0998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02E85AE8" w14:textId="77777777" w:rsidR="0065705D" w:rsidRDefault="0065705D" w:rsidP="0065705D">
            <w:pPr>
              <w:pStyle w:val="TableText-calibri10"/>
              <w:rPr>
                <w:bCs w:val="0"/>
              </w:rPr>
            </w:pPr>
            <w:r w:rsidRPr="00890A86">
              <w:t xml:space="preserve">Child is under age </w:t>
            </w:r>
            <w:r>
              <w:t>6</w:t>
            </w:r>
            <w:r w:rsidRPr="00890A86">
              <w:t xml:space="preserve"> years </w:t>
            </w:r>
            <w:r>
              <w:t>and</w:t>
            </w:r>
            <w:r w:rsidRPr="00890A86">
              <w:t xml:space="preserve"> has underlying medical conditions</w:t>
            </w:r>
            <w:r>
              <w:t>:</w:t>
            </w:r>
            <w:r w:rsidRPr="00890A86">
              <w:t xml:space="preserve"> </w:t>
            </w:r>
          </w:p>
          <w:p w14:paraId="26F41561" w14:textId="77777777" w:rsidR="0065705D" w:rsidRPr="00890A86" w:rsidRDefault="0065705D" w:rsidP="0065705D">
            <w:pPr>
              <w:pStyle w:val="NoSpacing"/>
              <w:jc w:val="left"/>
            </w:pPr>
            <w:r w:rsidRPr="0088268F">
              <w:t>*Risk conditions include: cerebrospinal fluid leak; chronic heart disease; chronic kidney disease (excluding maintenance dialysis and nephrotic syndrome, which are included in immunocompromising conditions); chronic liver disease; chronic lung disease (including moderate persistent or severe persistent asthma</w:t>
            </w:r>
            <w:r>
              <w:rPr>
                <w:szCs w:val="20"/>
              </w:rPr>
              <w:t xml:space="preserve"> regardless of high-dose oral corticosteroid use</w:t>
            </w:r>
            <w:r w:rsidRPr="0088268F">
              <w:t>); cochlear implant; diabetes mellitus;</w:t>
            </w:r>
            <w:r>
              <w:rPr>
                <w:bCs w:val="0"/>
              </w:rPr>
              <w:t xml:space="preserve"> </w:t>
            </w:r>
            <w:r w:rsidRPr="0088268F">
              <w:t xml:space="preserve">immunocompromising conditions (on maintenance dialysis or </w:t>
            </w:r>
            <w:r w:rsidRPr="0088268F">
              <w:lastRenderedPageBreak/>
              <w:t>with nephrotic syndrome; congenital or acquired asplenia or splenic dysfunction; congenital or acquired immunodeficiencies; diseases and conditions treated with immunosuppressive drugs or radiation therapy, including malignant neoplasms, leukemias, lymphomas, Hodgkin disease, and solid organ transplant; HIV infection; and sickle cell disease and other hemoglobinopathies).</w:t>
            </w:r>
          </w:p>
        </w:tc>
        <w:tc>
          <w:tcPr>
            <w:tcW w:w="5129" w:type="dxa"/>
          </w:tcPr>
          <w:p w14:paraId="7CE4EC53" w14:textId="77777777" w:rsidR="0065705D" w:rsidRDefault="0065705D" w:rsidP="0065705D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Follow </w:t>
            </w:r>
            <w:r w:rsidRPr="00890A86">
              <w:t>the</w:t>
            </w:r>
            <w:r>
              <w:t xml:space="preserve"> PCV15 catch-up vaccination table for underlying medical conditions if incomplete primary series. </w:t>
            </w:r>
          </w:p>
          <w:p w14:paraId="754B24EF" w14:textId="77777777" w:rsidR="0065705D" w:rsidRDefault="0065705D" w:rsidP="0065705D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ED4DD88" w14:textId="77777777" w:rsidR="0065705D" w:rsidRPr="008E470A" w:rsidRDefault="0065705D" w:rsidP="0065705D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705D" w:rsidRPr="008E470A" w14:paraId="6D2149B7" w14:textId="77777777" w:rsidTr="008E0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67CD0D2C" w14:textId="77777777" w:rsidR="0065705D" w:rsidRDefault="0065705D" w:rsidP="0065705D">
            <w:pPr>
              <w:pStyle w:val="TableText-calibri10"/>
            </w:pPr>
            <w:r>
              <w:t xml:space="preserve">Child 24-71 months with underlying medical conditions (as above) who has received PCV20 only. </w:t>
            </w:r>
          </w:p>
        </w:tc>
        <w:tc>
          <w:tcPr>
            <w:tcW w:w="5129" w:type="dxa"/>
          </w:tcPr>
          <w:p w14:paraId="407F425A" w14:textId="77777777" w:rsidR="0065705D" w:rsidRDefault="0065705D" w:rsidP="0065705D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Proceed to vaccinate at least 8 weeks after the most recent dose of PCV. </w:t>
            </w:r>
          </w:p>
        </w:tc>
      </w:tr>
      <w:tr w:rsidR="0065705D" w:rsidRPr="008E470A" w14:paraId="1F8C33B2" w14:textId="77777777" w:rsidTr="008E0998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3115D536" w14:textId="77777777" w:rsidR="0065705D" w:rsidRDefault="0065705D" w:rsidP="0065705D">
            <w:pPr>
              <w:pStyle w:val="TableText-calibri10"/>
            </w:pPr>
            <w:r>
              <w:t>Child 24-71 months with underlying medical conditions (as above) who received PCV13 orPCV15 only.</w:t>
            </w:r>
          </w:p>
        </w:tc>
        <w:tc>
          <w:tcPr>
            <w:tcW w:w="5129" w:type="dxa"/>
          </w:tcPr>
          <w:p w14:paraId="2DA14977" w14:textId="77777777" w:rsidR="0065705D" w:rsidRDefault="0065705D" w:rsidP="0065705D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Need PCV20 or PPSV23 (refer to PCV20 or PPSV23 protocol). </w:t>
            </w:r>
          </w:p>
        </w:tc>
      </w:tr>
    </w:tbl>
    <w:p w14:paraId="7B87EA16" w14:textId="77777777" w:rsidR="000B3E7D" w:rsidRDefault="000B3E7D" w:rsidP="0015567C">
      <w:pPr>
        <w:pStyle w:val="TableorChartTitle"/>
        <w:jc w:val="left"/>
      </w:pPr>
      <w:r>
        <w:t>Contraindications</w:t>
      </w:r>
    </w:p>
    <w:tbl>
      <w:tblPr>
        <w:tblStyle w:val="MDHstyle"/>
        <w:tblW w:w="10257" w:type="dxa"/>
        <w:tblLook w:val="04A0" w:firstRow="1" w:lastRow="0" w:firstColumn="1" w:lastColumn="0" w:noHBand="0" w:noVBand="1"/>
      </w:tblPr>
      <w:tblGrid>
        <w:gridCol w:w="5128"/>
        <w:gridCol w:w="5129"/>
      </w:tblGrid>
      <w:tr w:rsidR="0065705D" w:rsidRPr="008E470A" w14:paraId="59FD06D8" w14:textId="77777777" w:rsidTr="008E09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1B96033D" w14:textId="77777777" w:rsidR="0065705D" w:rsidRPr="008E470A" w:rsidRDefault="0065705D" w:rsidP="008E0998">
            <w:pPr>
              <w:pStyle w:val="TableText-calibri10"/>
            </w:pPr>
            <w:r w:rsidRPr="008E470A">
              <w:t>Criteria</w:t>
            </w:r>
          </w:p>
        </w:tc>
        <w:tc>
          <w:tcPr>
            <w:tcW w:w="5129" w:type="dxa"/>
          </w:tcPr>
          <w:p w14:paraId="6507094F" w14:textId="77777777" w:rsidR="0065705D" w:rsidRPr="008E470A" w:rsidRDefault="0065705D" w:rsidP="008E0998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E470A">
              <w:t>Prescribed action</w:t>
            </w:r>
          </w:p>
        </w:tc>
      </w:tr>
      <w:tr w:rsidR="0065705D" w:rsidRPr="008E470A" w14:paraId="0A8C3623" w14:textId="77777777" w:rsidTr="008E0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5AFC82EE" w14:textId="77777777" w:rsidR="0065705D" w:rsidRPr="008E470A" w:rsidRDefault="0065705D" w:rsidP="008E0998">
            <w:pPr>
              <w:pStyle w:val="TableText-calibri10"/>
            </w:pPr>
            <w:r w:rsidRPr="00890A86">
              <w:t>Child had a systemic allergic reaction (e.g., anaphylaxis) to a previous dose of PCV13 vaccine.</w:t>
            </w:r>
          </w:p>
        </w:tc>
        <w:tc>
          <w:tcPr>
            <w:tcW w:w="5129" w:type="dxa"/>
          </w:tcPr>
          <w:p w14:paraId="2437C4F8" w14:textId="77777777" w:rsidR="0065705D" w:rsidRPr="008E470A" w:rsidRDefault="0065705D" w:rsidP="008E0998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4C14">
              <w:t>Do not vaccinate; _____________________</w:t>
            </w:r>
          </w:p>
        </w:tc>
      </w:tr>
      <w:tr w:rsidR="0065705D" w:rsidRPr="008E470A" w14:paraId="15728668" w14:textId="77777777" w:rsidTr="008E0998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4005A09A" w14:textId="77777777" w:rsidR="0065705D" w:rsidRPr="008E470A" w:rsidRDefault="0065705D" w:rsidP="008E0998">
            <w:pPr>
              <w:pStyle w:val="TableText-calibri10"/>
            </w:pPr>
            <w:r w:rsidRPr="00890A86">
              <w:t>Child has a systemic allergy (e.g., anaphylaxis) to a component of PCV</w:t>
            </w:r>
            <w:r>
              <w:t>15</w:t>
            </w:r>
            <w:r w:rsidRPr="00890A86">
              <w:t xml:space="preserve"> vaccine</w:t>
            </w:r>
            <w:r>
              <w:t xml:space="preserve"> or any diphtheria toxoid-containing vaccine</w:t>
            </w:r>
            <w:r w:rsidRPr="00890A86">
              <w:t>.</w:t>
            </w:r>
          </w:p>
        </w:tc>
        <w:tc>
          <w:tcPr>
            <w:tcW w:w="5129" w:type="dxa"/>
          </w:tcPr>
          <w:p w14:paraId="32EEFD27" w14:textId="77777777" w:rsidR="0065705D" w:rsidRPr="008E470A" w:rsidRDefault="0065705D" w:rsidP="008E0998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C14">
              <w:t>Do not vaccinate; _____________________</w:t>
            </w:r>
          </w:p>
        </w:tc>
      </w:tr>
    </w:tbl>
    <w:p w14:paraId="799D0173" w14:textId="77777777" w:rsidR="0015567C" w:rsidRDefault="0015567C" w:rsidP="0015567C">
      <w:pPr>
        <w:pStyle w:val="TableorChartTitle"/>
        <w:jc w:val="left"/>
      </w:pPr>
      <w:r>
        <w:t>Precautions</w:t>
      </w:r>
    </w:p>
    <w:tbl>
      <w:tblPr>
        <w:tblStyle w:val="MDHstyle"/>
        <w:tblW w:w="10257" w:type="dxa"/>
        <w:tblLook w:val="04A0" w:firstRow="1" w:lastRow="0" w:firstColumn="1" w:lastColumn="0" w:noHBand="0" w:noVBand="1"/>
      </w:tblPr>
      <w:tblGrid>
        <w:gridCol w:w="5128"/>
        <w:gridCol w:w="5129"/>
      </w:tblGrid>
      <w:tr w:rsidR="0065705D" w:rsidRPr="008E470A" w14:paraId="3528C9F4" w14:textId="77777777" w:rsidTr="008E09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E7C762A" w14:textId="77777777" w:rsidR="0065705D" w:rsidRPr="008E470A" w:rsidRDefault="0065705D" w:rsidP="008E0998">
            <w:pPr>
              <w:pStyle w:val="TableText-calibri10"/>
            </w:pPr>
            <w:r w:rsidRPr="008E470A">
              <w:t>Criteria</w:t>
            </w:r>
          </w:p>
        </w:tc>
        <w:tc>
          <w:tcPr>
            <w:tcW w:w="5129" w:type="dxa"/>
          </w:tcPr>
          <w:p w14:paraId="77CE01D2" w14:textId="77777777" w:rsidR="0065705D" w:rsidRPr="008E470A" w:rsidRDefault="0065705D" w:rsidP="008E0998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E470A">
              <w:t>Prescribed action</w:t>
            </w:r>
          </w:p>
        </w:tc>
      </w:tr>
      <w:tr w:rsidR="0065705D" w:rsidRPr="008E470A" w14:paraId="17FC01BA" w14:textId="77777777" w:rsidTr="008E0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78D8686F" w14:textId="77777777" w:rsidR="0065705D" w:rsidRPr="008E470A" w:rsidRDefault="0065705D" w:rsidP="008E0998">
            <w:pPr>
              <w:pStyle w:val="TableText-calibri10"/>
            </w:pPr>
            <w:r>
              <w:t>C</w:t>
            </w:r>
            <w:r w:rsidRPr="00890A86">
              <w:t>hild is currently on antibiotic therapy.</w:t>
            </w:r>
          </w:p>
        </w:tc>
        <w:tc>
          <w:tcPr>
            <w:tcW w:w="5129" w:type="dxa"/>
          </w:tcPr>
          <w:p w14:paraId="212B5F84" w14:textId="77777777" w:rsidR="0065705D" w:rsidRPr="008E470A" w:rsidRDefault="0065705D" w:rsidP="008E0998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0A86">
              <w:t>Proceed to vaccinate.</w:t>
            </w:r>
          </w:p>
        </w:tc>
      </w:tr>
      <w:tr w:rsidR="0065705D" w:rsidRPr="008E470A" w14:paraId="1AA6ECAC" w14:textId="77777777" w:rsidTr="008E0998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39DB0DF1" w14:textId="77777777" w:rsidR="0065705D" w:rsidRPr="008E470A" w:rsidRDefault="0065705D" w:rsidP="008E0998">
            <w:pPr>
              <w:pStyle w:val="TableText-calibri10"/>
            </w:pPr>
            <w:r w:rsidRPr="00890A86">
              <w:t>Child has a mild illness defined as temperature is less than ____°F/°C with symptoms such as: {to be determined by medical prescriber}</w:t>
            </w:r>
          </w:p>
        </w:tc>
        <w:tc>
          <w:tcPr>
            <w:tcW w:w="5129" w:type="dxa"/>
          </w:tcPr>
          <w:p w14:paraId="23B2BA6F" w14:textId="77777777" w:rsidR="0065705D" w:rsidRPr="008E470A" w:rsidRDefault="0065705D" w:rsidP="008E0998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0A86">
              <w:t>Proceed to vaccinate.</w:t>
            </w:r>
          </w:p>
        </w:tc>
      </w:tr>
      <w:tr w:rsidR="0065705D" w:rsidRPr="008E470A" w14:paraId="40DF47C9" w14:textId="77777777" w:rsidTr="008E0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10D24CBE" w14:textId="77777777" w:rsidR="0065705D" w:rsidRPr="00890A86" w:rsidRDefault="0065705D" w:rsidP="008E0998">
            <w:pPr>
              <w:pStyle w:val="Tabletext"/>
            </w:pPr>
            <w:r w:rsidRPr="007F1B5F">
              <w:t>Child has a moderate to severe illness defined as</w:t>
            </w:r>
            <w:r>
              <w:t xml:space="preserve"> </w:t>
            </w:r>
            <w:r w:rsidRPr="002F7525">
              <w:t>temperature ____°F/°C or higher with symptoms such as: {to be determined by medical prescriber}</w:t>
            </w:r>
          </w:p>
        </w:tc>
        <w:tc>
          <w:tcPr>
            <w:tcW w:w="5129" w:type="dxa"/>
          </w:tcPr>
          <w:p w14:paraId="6ED6C8B9" w14:textId="77777777" w:rsidR="0065705D" w:rsidRPr="008E470A" w:rsidRDefault="0065705D" w:rsidP="008E0998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2400">
              <w:t>Defer vaccination and {to be determined by medical prescriber}</w:t>
            </w:r>
          </w:p>
        </w:tc>
      </w:tr>
    </w:tbl>
    <w:p w14:paraId="52EB7641" w14:textId="77777777" w:rsidR="0015567C" w:rsidRDefault="0015567C" w:rsidP="00FA3AE0">
      <w:pPr>
        <w:pStyle w:val="Heading2"/>
        <w:keepNext/>
      </w:pPr>
      <w:r>
        <w:t>Prescription</w:t>
      </w:r>
    </w:p>
    <w:p w14:paraId="06D9674B" w14:textId="77777777" w:rsidR="0065705D" w:rsidRDefault="0065705D" w:rsidP="0065705D">
      <w:pPr>
        <w:pStyle w:val="Heading3"/>
      </w:pPr>
      <w:r>
        <w:t>Routine vaccination</w:t>
      </w:r>
    </w:p>
    <w:p w14:paraId="5D5C61DD" w14:textId="77777777" w:rsidR="0065705D" w:rsidRPr="00D9021E" w:rsidRDefault="0065705D" w:rsidP="0065705D">
      <w:r w:rsidRPr="00D9021E">
        <w:t>Give pneumococcal conjugate vaccine, 15-valent (PCV15) 0.5 ml, IM at age 2 months, 4 months, 6 months, and 12 to 15 months.</w:t>
      </w:r>
    </w:p>
    <w:p w14:paraId="3C234F46" w14:textId="77777777" w:rsidR="0065705D" w:rsidRDefault="0065705D" w:rsidP="0065705D">
      <w:pPr>
        <w:pStyle w:val="Heading4"/>
      </w:pPr>
      <w:r>
        <w:t>Catch-up schedule for all children less than 24 months</w:t>
      </w:r>
    </w:p>
    <w:p w14:paraId="31A5112A" w14:textId="77777777" w:rsidR="0065705D" w:rsidRDefault="0065705D" w:rsidP="00ED4FF5">
      <w:pPr>
        <w:pStyle w:val="ListBullet"/>
      </w:pPr>
      <w:r w:rsidRPr="00CA3340">
        <w:rPr>
          <w:b/>
          <w:bCs/>
          <w:i/>
          <w:iCs/>
        </w:rPr>
        <w:t>Minimum intervals</w:t>
      </w:r>
      <w:r>
        <w:t>:</w:t>
      </w:r>
    </w:p>
    <w:p w14:paraId="67CFBAB2" w14:textId="0911701C" w:rsidR="00ED4FF5" w:rsidRDefault="0065705D" w:rsidP="00ED4FF5">
      <w:pPr>
        <w:pStyle w:val="ListBullet"/>
        <w:numPr>
          <w:ilvl w:val="1"/>
          <w:numId w:val="9"/>
        </w:numPr>
      </w:pPr>
      <w:r w:rsidRPr="00CA3340">
        <w:rPr>
          <w:b/>
          <w:bCs/>
        </w:rPr>
        <w:t xml:space="preserve">Dose </w:t>
      </w:r>
      <w:r w:rsidR="00ED4FF5" w:rsidRPr="00CA3340">
        <w:rPr>
          <w:b/>
          <w:bCs/>
        </w:rPr>
        <w:t>1</w:t>
      </w:r>
      <w:r w:rsidRPr="00CA3340">
        <w:rPr>
          <w:b/>
          <w:bCs/>
        </w:rPr>
        <w:t xml:space="preserve"> to dose </w:t>
      </w:r>
      <w:r w:rsidR="00ED4FF5" w:rsidRPr="00CA3340">
        <w:rPr>
          <w:b/>
          <w:bCs/>
        </w:rPr>
        <w:t>2</w:t>
      </w:r>
      <w:r w:rsidRPr="00B5560E">
        <w:t>:</w:t>
      </w:r>
    </w:p>
    <w:p w14:paraId="2BAD4711" w14:textId="39E25854" w:rsidR="00ED4FF5" w:rsidRDefault="0065705D" w:rsidP="00ED4FF5">
      <w:pPr>
        <w:pStyle w:val="ListBullet"/>
        <w:numPr>
          <w:ilvl w:val="2"/>
          <w:numId w:val="9"/>
        </w:numPr>
      </w:pPr>
      <w:r w:rsidRPr="00B5560E">
        <w:t xml:space="preserve">Four weeks if first dose given before </w:t>
      </w:r>
      <w:r w:rsidR="00F17153">
        <w:t>12 months of age</w:t>
      </w:r>
      <w:r w:rsidRPr="00B5560E">
        <w:t>.</w:t>
      </w:r>
    </w:p>
    <w:p w14:paraId="24903ED8" w14:textId="0D7C37AB" w:rsidR="0065705D" w:rsidRPr="00B5560E" w:rsidRDefault="0065705D" w:rsidP="00ED4FF5">
      <w:pPr>
        <w:pStyle w:val="ListBullet"/>
        <w:numPr>
          <w:ilvl w:val="2"/>
          <w:numId w:val="9"/>
        </w:numPr>
      </w:pPr>
      <w:r w:rsidRPr="00B5560E">
        <w:t xml:space="preserve">Eight weeks (as final dose for healthy children), if first dose given at </w:t>
      </w:r>
      <w:r w:rsidR="00F17153">
        <w:t>12 months</w:t>
      </w:r>
      <w:r w:rsidRPr="00B5560E">
        <w:t xml:space="preserve"> or after.</w:t>
      </w:r>
    </w:p>
    <w:p w14:paraId="0CBA44C4" w14:textId="77777777" w:rsidR="00CA3340" w:rsidRDefault="0065705D" w:rsidP="00ED4FF5">
      <w:pPr>
        <w:pStyle w:val="ListBullet"/>
        <w:numPr>
          <w:ilvl w:val="1"/>
          <w:numId w:val="9"/>
        </w:numPr>
      </w:pPr>
      <w:r w:rsidRPr="00CA3340">
        <w:rPr>
          <w:b/>
          <w:bCs/>
        </w:rPr>
        <w:lastRenderedPageBreak/>
        <w:t xml:space="preserve">Dose </w:t>
      </w:r>
      <w:r w:rsidR="00ED4FF5" w:rsidRPr="00CA3340">
        <w:rPr>
          <w:b/>
          <w:bCs/>
        </w:rPr>
        <w:t>2</w:t>
      </w:r>
      <w:r w:rsidRPr="00CA3340">
        <w:rPr>
          <w:b/>
          <w:bCs/>
        </w:rPr>
        <w:t xml:space="preserve"> to dose </w:t>
      </w:r>
      <w:r w:rsidR="00ED4FF5" w:rsidRPr="00CA3340">
        <w:rPr>
          <w:b/>
          <w:bCs/>
        </w:rPr>
        <w:t>3</w:t>
      </w:r>
      <w:r w:rsidRPr="00B5560E">
        <w:t>:</w:t>
      </w:r>
    </w:p>
    <w:p w14:paraId="02D80D72" w14:textId="77777777" w:rsidR="00CA3340" w:rsidRDefault="0065705D" w:rsidP="00CA3340">
      <w:pPr>
        <w:pStyle w:val="ListBullet"/>
        <w:numPr>
          <w:ilvl w:val="2"/>
          <w:numId w:val="9"/>
        </w:numPr>
      </w:pPr>
      <w:r w:rsidRPr="00B5560E">
        <w:t>Four weeks if current age under 12 months and previous dose given before 7 months old.</w:t>
      </w:r>
    </w:p>
    <w:p w14:paraId="62FDA7D1" w14:textId="77777777" w:rsidR="00CA3340" w:rsidRDefault="0065705D" w:rsidP="00CA3340">
      <w:pPr>
        <w:pStyle w:val="ListBullet"/>
        <w:numPr>
          <w:ilvl w:val="2"/>
          <w:numId w:val="9"/>
        </w:numPr>
      </w:pPr>
      <w:r w:rsidRPr="00B5560E">
        <w:t>Eight weeks (as final dose for healthy children) if previous dose given between age 7 – 11 months (wait until at least 12 months old)</w:t>
      </w:r>
      <w:r w:rsidR="00CA3340">
        <w:t>.</w:t>
      </w:r>
    </w:p>
    <w:p w14:paraId="4CC79BFD" w14:textId="4A66C0C2" w:rsidR="0065705D" w:rsidRPr="00B5560E" w:rsidRDefault="0065705D" w:rsidP="00CA3340">
      <w:pPr>
        <w:pStyle w:val="ListBullet"/>
        <w:numPr>
          <w:ilvl w:val="2"/>
          <w:numId w:val="9"/>
        </w:numPr>
      </w:pPr>
      <w:r w:rsidRPr="00B5560E">
        <w:t>OR if current age is 12 months or older and at least 1 dose was given before age 12 months.</w:t>
      </w:r>
    </w:p>
    <w:p w14:paraId="036651E8" w14:textId="77777777" w:rsidR="00CA3340" w:rsidRDefault="0065705D" w:rsidP="00ED4FF5">
      <w:pPr>
        <w:pStyle w:val="ListBullet"/>
        <w:numPr>
          <w:ilvl w:val="1"/>
          <w:numId w:val="9"/>
        </w:numPr>
      </w:pPr>
      <w:r w:rsidRPr="00CA3340">
        <w:rPr>
          <w:b/>
          <w:bCs/>
        </w:rPr>
        <w:t xml:space="preserve">Dose </w:t>
      </w:r>
      <w:r w:rsidR="00CA3340" w:rsidRPr="00CA3340">
        <w:rPr>
          <w:b/>
          <w:bCs/>
        </w:rPr>
        <w:t>3</w:t>
      </w:r>
      <w:r w:rsidRPr="00CA3340">
        <w:rPr>
          <w:b/>
          <w:bCs/>
        </w:rPr>
        <w:t xml:space="preserve"> to dose </w:t>
      </w:r>
      <w:r w:rsidR="00CA3340" w:rsidRPr="00CA3340">
        <w:rPr>
          <w:b/>
          <w:bCs/>
        </w:rPr>
        <w:t>4</w:t>
      </w:r>
      <w:r w:rsidRPr="00B5560E">
        <w:t>:</w:t>
      </w:r>
    </w:p>
    <w:p w14:paraId="20B8299B" w14:textId="1F405E17" w:rsidR="0065705D" w:rsidRPr="00B5560E" w:rsidRDefault="0065705D" w:rsidP="00CA3340">
      <w:pPr>
        <w:pStyle w:val="ListBullet"/>
        <w:numPr>
          <w:ilvl w:val="2"/>
          <w:numId w:val="9"/>
        </w:numPr>
      </w:pPr>
      <w:r w:rsidRPr="00B5560E">
        <w:t>Eight weeks (as final dose).</w:t>
      </w:r>
    </w:p>
    <w:p w14:paraId="5420D9FA" w14:textId="77777777" w:rsidR="0065705D" w:rsidRPr="00B5560E" w:rsidRDefault="0065705D" w:rsidP="00ED4FF5">
      <w:pPr>
        <w:pStyle w:val="ListBullet"/>
        <w:numPr>
          <w:ilvl w:val="1"/>
          <w:numId w:val="9"/>
        </w:numPr>
      </w:pPr>
      <w:r w:rsidRPr="00B5560E">
        <w:t>The fourth dose is only necessary for children age 12 months to 5 years who received 3 doses before age 12 months or for high-risk children* who received 3 doses at any age.</w:t>
      </w:r>
    </w:p>
    <w:p w14:paraId="0B572E48" w14:textId="77777777" w:rsidR="0065705D" w:rsidRDefault="0065705D" w:rsidP="0065705D">
      <w:pPr>
        <w:pStyle w:val="Heading4"/>
      </w:pPr>
      <w:bookmarkStart w:id="0" w:name="_Hlk143765119"/>
      <w:r>
        <w:t xml:space="preserve">Catch-up schedule for children 24 – 59 months </w:t>
      </w:r>
    </w:p>
    <w:p w14:paraId="2A972732" w14:textId="77777777" w:rsidR="0065705D" w:rsidRPr="00D9021E" w:rsidRDefault="0065705D" w:rsidP="0065705D">
      <w:r w:rsidRPr="00D9021E">
        <w:t xml:space="preserve">No previous doses or any incomplete schedule by 24 months: </w:t>
      </w:r>
      <w:r>
        <w:t>G</w:t>
      </w:r>
      <w:r w:rsidRPr="00D9021E">
        <w:t xml:space="preserve">ive one dose PCV15 at least </w:t>
      </w:r>
      <w:r>
        <w:t>eight</w:t>
      </w:r>
      <w:r w:rsidRPr="00D9021E">
        <w:t xml:space="preserve"> weeks after most recent dose.</w:t>
      </w:r>
    </w:p>
    <w:p w14:paraId="03C774FF" w14:textId="77777777" w:rsidR="0065705D" w:rsidRDefault="0065705D" w:rsidP="0065705D">
      <w:pPr>
        <w:pStyle w:val="Heading3"/>
      </w:pPr>
      <w:r>
        <w:t>Schedule for children with underlying medical conditions</w:t>
      </w:r>
    </w:p>
    <w:p w14:paraId="15E00739" w14:textId="77777777" w:rsidR="0065705D" w:rsidRPr="001173DE" w:rsidRDefault="0065705D" w:rsidP="0065705D">
      <w:pPr>
        <w:pStyle w:val="Heading4"/>
      </w:pPr>
      <w:r w:rsidRPr="0086213C">
        <w:t xml:space="preserve">Children aged 24 through </w:t>
      </w:r>
      <w:r>
        <w:t>71</w:t>
      </w:r>
      <w:r w:rsidRPr="0086213C">
        <w:t xml:space="preserve"> months with underlying medical conditions*</w:t>
      </w:r>
      <w:r w:rsidRPr="001173DE">
        <w:t xml:space="preserve">: </w:t>
      </w:r>
    </w:p>
    <w:bookmarkEnd w:id="0"/>
    <w:p w14:paraId="4E81CC1B" w14:textId="77777777" w:rsidR="0065705D" w:rsidRPr="00D9021E" w:rsidRDefault="0065705D" w:rsidP="00CA3340">
      <w:pPr>
        <w:pStyle w:val="ListBullet"/>
      </w:pPr>
      <w:r w:rsidRPr="00D9021E">
        <w:t>Give 2 doses of PCV15 at least 8 weeks apart if fewer than 3 doses were received previously.</w:t>
      </w:r>
    </w:p>
    <w:p w14:paraId="647FFCB3" w14:textId="77777777" w:rsidR="0065705D" w:rsidRDefault="0065705D" w:rsidP="00CA3340">
      <w:pPr>
        <w:pStyle w:val="ListBullet"/>
      </w:pPr>
      <w:r w:rsidRPr="00D9021E">
        <w:t>Give 1 dose PCV15 at least 8 weeks after last dose for children who have received 3 doses of PCV, all before 12 months.</w:t>
      </w:r>
    </w:p>
    <w:p w14:paraId="1D0E5784" w14:textId="77777777" w:rsidR="0065705D" w:rsidRPr="00D9021E" w:rsidRDefault="0065705D" w:rsidP="0065705D">
      <w:pPr>
        <w:pStyle w:val="NormalSmall"/>
      </w:pPr>
      <w:r w:rsidRPr="00D9021E">
        <w:t>*Risk conditions include: cerebrospinal fluid leak; chronic heart disease; chronic kidney disease (excluding maintenance dialysis and nephrotic syndrome, which are included in immunocompromising conditions); chronic liver disease; chronic lung disease (including moderate persistent or severe persistent asthma regardless of high-dose oral corticosteroid use); cochlear implant; diabetes mellitus; immunocompromising conditions (on maintenance dialysis or with nephrotic syndrome; congenital or acquired asplenia or splenic dysfunction; congenital or acquired immunodeficiencies; diseases and conditions treated with immunosuppressive drugs or radiation therapy, including malignant neoplasms, leukemias, lymphomas, Hodgkin disease, and solid organ transplant; HIV infection; and sickle cell disease and other hemoglobinopathies).</w:t>
      </w:r>
      <w:r w:rsidRPr="00D9021E" w:rsidDel="00E848C7">
        <w:t xml:space="preserve"> </w:t>
      </w:r>
    </w:p>
    <w:p w14:paraId="47F71219" w14:textId="1B1E4AB6" w:rsidR="0015567C" w:rsidRDefault="00CB17E6" w:rsidP="006D4D5C">
      <w:pPr>
        <w:pStyle w:val="Heading2"/>
        <w:keepNext/>
      </w:pPr>
      <w:r>
        <w:t>Medical emergency or a</w:t>
      </w:r>
      <w:r w:rsidR="0015567C">
        <w:t>naphylaxis</w:t>
      </w:r>
    </w:p>
    <w:p w14:paraId="6C7E18A7" w14:textId="77777777" w:rsidR="005F3404" w:rsidRDefault="001D69F3" w:rsidP="006D4D5C">
      <w:pPr>
        <w:rPr>
          <w:sz w:val="20"/>
          <w:szCs w:val="20"/>
        </w:rPr>
      </w:pPr>
      <w:r w:rsidRPr="59BEB75F">
        <w:t xml:space="preserve">Follow pre-established agency protocol for anaphylaxis. </w:t>
      </w:r>
    </w:p>
    <w:p w14:paraId="3C84BB20" w14:textId="1C26F137" w:rsidR="005F3404" w:rsidRDefault="00CB17E6" w:rsidP="005F3404">
      <w:pPr>
        <w:pStyle w:val="Heading2"/>
      </w:pPr>
      <w:r>
        <w:t>Question or c</w:t>
      </w:r>
      <w:r w:rsidR="005F3404">
        <w:t>oncerns</w:t>
      </w:r>
    </w:p>
    <w:p w14:paraId="06C0D755" w14:textId="023E2C2B" w:rsidR="001D3C8B" w:rsidRPr="007D53F2" w:rsidRDefault="001D3C8B" w:rsidP="007D53F2">
      <w:pPr>
        <w:rPr>
          <w:bCs/>
          <w:color w:val="C00000"/>
        </w:rPr>
      </w:pPr>
      <w:r w:rsidRPr="007D53F2">
        <w:rPr>
          <w:b/>
          <w:bCs/>
          <w:color w:val="C00000"/>
        </w:rPr>
        <w:t xml:space="preserve">Insert overseeing medical consultant’s information </w:t>
      </w:r>
      <w:r w:rsidR="008C3BED" w:rsidRPr="007D53F2">
        <w:rPr>
          <w:b/>
          <w:bCs/>
          <w:color w:val="C00000"/>
        </w:rPr>
        <w:t>below and d</w:t>
      </w:r>
      <w:r w:rsidRPr="007D53F2">
        <w:rPr>
          <w:b/>
          <w:bCs/>
          <w:color w:val="C00000"/>
        </w:rPr>
        <w:t xml:space="preserve">elete this sentence before </w:t>
      </w:r>
      <w:r w:rsidR="00DE784B" w:rsidRPr="007D53F2">
        <w:rPr>
          <w:b/>
          <w:bCs/>
          <w:color w:val="C00000"/>
        </w:rPr>
        <w:t>printing/signing.</w:t>
      </w:r>
    </w:p>
    <w:p w14:paraId="4B0B8939" w14:textId="1A18817C" w:rsidR="005F3404" w:rsidRPr="007D53F2" w:rsidRDefault="005F3404" w:rsidP="007D53F2">
      <w:pPr>
        <w:pStyle w:val="NormalLtBlueBackground"/>
      </w:pPr>
      <w:r>
        <w:t>I</w:t>
      </w:r>
      <w:r w:rsidRPr="59BEB75F">
        <w:t xml:space="preserve">n the event </w:t>
      </w:r>
      <w:r w:rsidR="00AA3A38" w:rsidRPr="59BEB75F">
        <w:t>of questions or concerns</w:t>
      </w:r>
      <w:r w:rsidR="001F543A">
        <w:t xml:space="preserve"> c</w:t>
      </w:r>
      <w:r w:rsidR="00AA3A38" w:rsidRPr="59BEB75F">
        <w:t xml:space="preserve">all </w:t>
      </w:r>
      <w:r w:rsidR="001F543A" w:rsidRPr="007D53F2">
        <w:rPr>
          <w:color w:val="C00000"/>
        </w:rPr>
        <w:t xml:space="preserve">(insert name) </w:t>
      </w:r>
      <w:r w:rsidR="00AA3A38" w:rsidRPr="59BEB75F">
        <w:t xml:space="preserve">at </w:t>
      </w:r>
      <w:r w:rsidR="001F543A" w:rsidRPr="007D53F2">
        <w:rPr>
          <w:color w:val="C00000"/>
        </w:rPr>
        <w:t>(insert phone number)</w:t>
      </w:r>
      <w:r w:rsidR="001F543A">
        <w:t>.</w:t>
      </w:r>
    </w:p>
    <w:p w14:paraId="149C3E4E" w14:textId="674AC030" w:rsidR="00B26E21" w:rsidRPr="007D53F2" w:rsidRDefault="00B26E21" w:rsidP="00F20BDD">
      <w:pPr>
        <w:rPr>
          <w:rStyle w:val="Emphasis"/>
          <w:b/>
          <w:bCs/>
        </w:rPr>
      </w:pPr>
      <w:r w:rsidRPr="007D53F2">
        <w:rPr>
          <w:rStyle w:val="Emphasis"/>
          <w:b/>
          <w:bCs/>
        </w:rPr>
        <w:t>This protocol shall remain in effect until rescinded.</w:t>
      </w:r>
    </w:p>
    <w:p w14:paraId="5CC21B82" w14:textId="6E381E8A" w:rsidR="00B26E21" w:rsidRPr="008C3BED" w:rsidRDefault="00B26E21" w:rsidP="007D53F2">
      <w:pPr>
        <w:pStyle w:val="NormalLtBlueBackground"/>
        <w:rPr>
          <w:sz w:val="20"/>
          <w:szCs w:val="20"/>
        </w:rPr>
      </w:pPr>
      <w:r w:rsidRPr="008C3BED">
        <w:t>Name of prescriber</w:t>
      </w:r>
      <w:r w:rsidR="00D92BEB" w:rsidRPr="008C3BED">
        <w:t xml:space="preserve"> (please print)</w:t>
      </w:r>
      <w:r w:rsidRPr="008C3BED">
        <w:t>:</w:t>
      </w:r>
    </w:p>
    <w:p w14:paraId="1DA63381" w14:textId="4D547BF6" w:rsidR="00B26E21" w:rsidRPr="008C3BED" w:rsidRDefault="00E8409D" w:rsidP="007D53F2">
      <w:pPr>
        <w:pStyle w:val="NormalLtBlueBackground"/>
        <w:rPr>
          <w:sz w:val="20"/>
          <w:szCs w:val="20"/>
        </w:rPr>
      </w:pPr>
      <w:r w:rsidRPr="008C3BED">
        <w:t>Prescriber s</w:t>
      </w:r>
      <w:r w:rsidR="00B26E21" w:rsidRPr="008C3BED">
        <w:t>ignature:</w:t>
      </w:r>
    </w:p>
    <w:p w14:paraId="403FA0B3" w14:textId="67B66FCD" w:rsidR="00AA3A38" w:rsidRPr="007D53F2" w:rsidRDefault="00B26E21" w:rsidP="007D53F2">
      <w:pPr>
        <w:pStyle w:val="NormalLtBlueBackground"/>
        <w:rPr>
          <w:b/>
          <w:bCs/>
          <w:sz w:val="20"/>
          <w:szCs w:val="20"/>
        </w:rPr>
      </w:pPr>
      <w:r w:rsidRPr="008C3BED">
        <w:t>Date:</w:t>
      </w:r>
    </w:p>
    <w:sectPr w:rsidR="00AA3A38" w:rsidRPr="007D53F2" w:rsidSect="00D20099">
      <w:headerReference w:type="default" r:id="rId11"/>
      <w:footerReference w:type="default" r:id="rId12"/>
      <w:footerReference w:type="first" r:id="rId13"/>
      <w:type w:val="continuous"/>
      <w:pgSz w:w="12240" w:h="15840"/>
      <w:pgMar w:top="720" w:right="1008" w:bottom="720" w:left="1008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10962" w14:textId="77777777" w:rsidR="000B3E7D" w:rsidRDefault="000B3E7D" w:rsidP="00D36495">
      <w:r>
        <w:separator/>
      </w:r>
    </w:p>
  </w:endnote>
  <w:endnote w:type="continuationSeparator" w:id="0">
    <w:p w14:paraId="759846F1" w14:textId="77777777" w:rsidR="000B3E7D" w:rsidRDefault="000B3E7D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7D563BF6" w14:textId="02C22362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6B2EAC">
          <w:rPr>
            <w:noProof/>
          </w:rPr>
          <w:t>4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08BF0" w14:textId="44C33D08" w:rsidR="00B45CED" w:rsidRPr="00EE4C86" w:rsidRDefault="00B45CED" w:rsidP="00EE4C86">
    <w:pPr>
      <w:pStyle w:val="Footer"/>
      <w:jc w:val="center"/>
      <w:rPr>
        <w:rStyle w:val="HeaderChar"/>
      </w:rPr>
    </w:pPr>
    <w:r w:rsidRPr="00EE4C86">
      <w:rPr>
        <w:rStyle w:val="HeaderChar"/>
      </w:rPr>
      <w:fldChar w:fldCharType="begin"/>
    </w:r>
    <w:r w:rsidRPr="00EE4C86">
      <w:rPr>
        <w:rStyle w:val="HeaderChar"/>
      </w:rPr>
      <w:instrText xml:space="preserve"> PAGE   \* MERGEFORMAT </w:instrText>
    </w:r>
    <w:r w:rsidRPr="00EE4C86">
      <w:rPr>
        <w:rStyle w:val="HeaderChar"/>
      </w:rPr>
      <w:fldChar w:fldCharType="separate"/>
    </w:r>
    <w:r w:rsidR="006B2EAC">
      <w:rPr>
        <w:rStyle w:val="HeaderChar"/>
        <w:noProof/>
      </w:rPr>
      <w:t>1</w:t>
    </w:r>
    <w:r w:rsidRPr="00EE4C86">
      <w:rPr>
        <w:rStyle w:val="HeaderCh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134D8" w14:textId="77777777" w:rsidR="000B3E7D" w:rsidRDefault="000B3E7D" w:rsidP="00D36495">
      <w:r>
        <w:separator/>
      </w:r>
    </w:p>
  </w:footnote>
  <w:footnote w:type="continuationSeparator" w:id="0">
    <w:p w14:paraId="6475C9E9" w14:textId="77777777" w:rsidR="000B3E7D" w:rsidRDefault="000B3E7D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C49F" w14:textId="1D171183" w:rsidR="00782710" w:rsidRPr="00ED4FF5" w:rsidRDefault="00ED4FF5" w:rsidP="00ED4FF5">
    <w:pPr>
      <w:pStyle w:val="Header"/>
    </w:pPr>
    <w:r>
      <w:rPr>
        <w:noProof/>
      </w:rPr>
      <w:t xml:space="preserve">Pneumococcal Conjugate,15-valent (PCV15) </w:t>
    </w:r>
    <w:r>
      <w:t>Routine, Catch-up &amp; at risk</w:t>
    </w:r>
    <w:r w:rsidRPr="0047307B">
      <w:t xml:space="preserve"> </w:t>
    </w:r>
    <w:r>
      <w:t>Vaccine Protocol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hybridMultilevel"/>
    <w:tmpl w:val="3B129B08"/>
    <w:lvl w:ilvl="0" w:tplc="6B6219CA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E48423E">
      <w:numFmt w:val="decimal"/>
      <w:lvlText w:val=""/>
      <w:lvlJc w:val="left"/>
    </w:lvl>
    <w:lvl w:ilvl="2" w:tplc="D5944056">
      <w:numFmt w:val="decimal"/>
      <w:lvlText w:val=""/>
      <w:lvlJc w:val="left"/>
    </w:lvl>
    <w:lvl w:ilvl="3" w:tplc="B350AA1A">
      <w:numFmt w:val="decimal"/>
      <w:lvlText w:val=""/>
      <w:lvlJc w:val="left"/>
    </w:lvl>
    <w:lvl w:ilvl="4" w:tplc="53205188">
      <w:numFmt w:val="decimal"/>
      <w:lvlText w:val=""/>
      <w:lvlJc w:val="left"/>
    </w:lvl>
    <w:lvl w:ilvl="5" w:tplc="61BE3A24">
      <w:numFmt w:val="decimal"/>
      <w:lvlText w:val=""/>
      <w:lvlJc w:val="left"/>
    </w:lvl>
    <w:lvl w:ilvl="6" w:tplc="C6788988">
      <w:numFmt w:val="decimal"/>
      <w:lvlText w:val=""/>
      <w:lvlJc w:val="left"/>
    </w:lvl>
    <w:lvl w:ilvl="7" w:tplc="CA9AF520">
      <w:numFmt w:val="decimal"/>
      <w:lvlText w:val=""/>
      <w:lvlJc w:val="left"/>
    </w:lvl>
    <w:lvl w:ilvl="8" w:tplc="6212D98A">
      <w:numFmt w:val="decimal"/>
      <w:lvlText w:val=""/>
      <w:lvlJc w:val="left"/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hybridMultilevel"/>
    <w:tmpl w:val="3D44CA50"/>
    <w:styleLink w:val="ListStyle123"/>
    <w:lvl w:ilvl="0" w:tplc="EC4A83DC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F2BE1632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 w:tplc="C756C87C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 w:tplc="B468A006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 w:tplc="90C41736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 w:tplc="D4F69104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 w:tplc="E196EE7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 w:tplc="D8F60716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 w:tplc="433EFBC2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1C965865"/>
    <w:multiLevelType w:val="hybridMultilevel"/>
    <w:tmpl w:val="A2EA71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DC13B7"/>
    <w:multiLevelType w:val="multilevel"/>
    <w:tmpl w:val="88B4C196"/>
    <w:numStyleLink w:val="Listbullets"/>
  </w:abstractNum>
  <w:abstractNum w:abstractNumId="6" w15:restartNumberingAfterBreak="0">
    <w:nsid w:val="23133EB0"/>
    <w:multiLevelType w:val="hybridMultilevel"/>
    <w:tmpl w:val="4D485494"/>
    <w:lvl w:ilvl="0" w:tplc="41F48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147EF"/>
    <w:multiLevelType w:val="multilevel"/>
    <w:tmpl w:val="88B4C196"/>
    <w:numStyleLink w:val="Listbullets"/>
  </w:abstractNum>
  <w:abstractNum w:abstractNumId="8" w15:restartNumberingAfterBreak="0">
    <w:nsid w:val="2A0C4978"/>
    <w:multiLevelType w:val="hybridMultilevel"/>
    <w:tmpl w:val="E9282276"/>
    <w:lvl w:ilvl="0" w:tplc="7B3E6B6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38C3513D"/>
    <w:multiLevelType w:val="hybridMultilevel"/>
    <w:tmpl w:val="88B4C196"/>
    <w:styleLink w:val="Listbullets"/>
    <w:lvl w:ilvl="0" w:tplc="9DC6659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 w:tplc="A6186142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 w:tplc="BD8E7A3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 w:tplc="5158208C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 w:tplc="184EB666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 w:tplc="E2EE53FA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 w:tplc="2940BFF2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 w:tplc="28AC9BE8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 w:tplc="AD12402A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4BC765D9"/>
    <w:multiLevelType w:val="hybridMultilevel"/>
    <w:tmpl w:val="B3B83940"/>
    <w:lvl w:ilvl="0" w:tplc="B218CE16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A88A28DC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F36899C4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 w:tplc="8EACE2D6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 w:tplc="D0C0CAAE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 w:tplc="08ECB96A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 w:tplc="855C7BC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491ABCF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E5BE4AA4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1" w15:restartNumberingAfterBreak="0">
    <w:nsid w:val="5AD61D90"/>
    <w:multiLevelType w:val="hybridMultilevel"/>
    <w:tmpl w:val="A2807FC2"/>
    <w:lvl w:ilvl="0" w:tplc="D1AC67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42710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99A0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DAAD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F299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D1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C04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E44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DEF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53883"/>
    <w:multiLevelType w:val="hybridMultilevel"/>
    <w:tmpl w:val="674C28D8"/>
    <w:lvl w:ilvl="0" w:tplc="5466594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 w:tplc="E0607E26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 w:tplc="D982080A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 w:tplc="BD92258E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 w:tplc="33C69256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 w:tplc="931E7328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 w:tplc="623645D0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 w:tplc="9378DAD6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 w:tplc="FA005AD6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300624129">
    <w:abstractNumId w:val="11"/>
  </w:num>
  <w:num w:numId="2" w16cid:durableId="739325403">
    <w:abstractNumId w:val="1"/>
  </w:num>
  <w:num w:numId="3" w16cid:durableId="106004042">
    <w:abstractNumId w:val="0"/>
  </w:num>
  <w:num w:numId="4" w16cid:durableId="687946493">
    <w:abstractNumId w:val="9"/>
  </w:num>
  <w:num w:numId="5" w16cid:durableId="1765299252">
    <w:abstractNumId w:val="13"/>
  </w:num>
  <w:num w:numId="6" w16cid:durableId="313337357">
    <w:abstractNumId w:val="3"/>
  </w:num>
  <w:num w:numId="7" w16cid:durableId="517231757">
    <w:abstractNumId w:val="2"/>
  </w:num>
  <w:num w:numId="8" w16cid:durableId="156071018">
    <w:abstractNumId w:val="7"/>
  </w:num>
  <w:num w:numId="9" w16cid:durableId="1649892460">
    <w:abstractNumId w:val="5"/>
  </w:num>
  <w:num w:numId="10" w16cid:durableId="1059744909">
    <w:abstractNumId w:val="12"/>
  </w:num>
  <w:num w:numId="11" w16cid:durableId="825706611">
    <w:abstractNumId w:val="10"/>
  </w:num>
  <w:num w:numId="12" w16cid:durableId="1674910764">
    <w:abstractNumId w:val="6"/>
  </w:num>
  <w:num w:numId="13" w16cid:durableId="1223560892">
    <w:abstractNumId w:val="8"/>
  </w:num>
  <w:num w:numId="14" w16cid:durableId="190606037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E7D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22D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3E35"/>
    <w:rsid w:val="00065579"/>
    <w:rsid w:val="00065611"/>
    <w:rsid w:val="000657C4"/>
    <w:rsid w:val="00066679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712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3E7D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1E9E"/>
    <w:rsid w:val="000F1FDA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15AF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67C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403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5B5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3C8B"/>
    <w:rsid w:val="001D421C"/>
    <w:rsid w:val="001D4322"/>
    <w:rsid w:val="001D4622"/>
    <w:rsid w:val="001D4704"/>
    <w:rsid w:val="001D4A05"/>
    <w:rsid w:val="001D4D3E"/>
    <w:rsid w:val="001D51E2"/>
    <w:rsid w:val="001D69F3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543A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3CF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6C1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38F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76B87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89"/>
    <w:rsid w:val="002C6FE8"/>
    <w:rsid w:val="002C7FE8"/>
    <w:rsid w:val="002D023A"/>
    <w:rsid w:val="002D08A9"/>
    <w:rsid w:val="002D093E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0DC5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CEF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D60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531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1AA"/>
    <w:rsid w:val="00406DE8"/>
    <w:rsid w:val="004074C2"/>
    <w:rsid w:val="004103E1"/>
    <w:rsid w:val="00412215"/>
    <w:rsid w:val="00412567"/>
    <w:rsid w:val="0041287A"/>
    <w:rsid w:val="00412ADB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6A28"/>
    <w:rsid w:val="00446D41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9BF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115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E5336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17ABE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20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76EB8"/>
    <w:rsid w:val="00581795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A82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4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4C16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BF7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237"/>
    <w:rsid w:val="00647AB8"/>
    <w:rsid w:val="00651B68"/>
    <w:rsid w:val="00652756"/>
    <w:rsid w:val="00653BA9"/>
    <w:rsid w:val="0065447B"/>
    <w:rsid w:val="00654D90"/>
    <w:rsid w:val="00656470"/>
    <w:rsid w:val="0065705D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0C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2EAC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4D5C"/>
    <w:rsid w:val="006D690D"/>
    <w:rsid w:val="006D7009"/>
    <w:rsid w:val="006D751B"/>
    <w:rsid w:val="006E12BB"/>
    <w:rsid w:val="006E1788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504"/>
    <w:rsid w:val="00711E37"/>
    <w:rsid w:val="007144FE"/>
    <w:rsid w:val="00714586"/>
    <w:rsid w:val="00714D8F"/>
    <w:rsid w:val="0071546B"/>
    <w:rsid w:val="00716254"/>
    <w:rsid w:val="00716905"/>
    <w:rsid w:val="007203CE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0E9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3F2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190"/>
    <w:rsid w:val="007F0B18"/>
    <w:rsid w:val="007F1103"/>
    <w:rsid w:val="007F14C2"/>
    <w:rsid w:val="007F38B8"/>
    <w:rsid w:val="007F3CA5"/>
    <w:rsid w:val="007F6061"/>
    <w:rsid w:val="007F67B0"/>
    <w:rsid w:val="007F69C5"/>
    <w:rsid w:val="007F71FF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A6CDE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BED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470A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635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02C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0E55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CDA"/>
    <w:rsid w:val="00AA2E22"/>
    <w:rsid w:val="00AA3A38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5D1"/>
    <w:rsid w:val="00AE791E"/>
    <w:rsid w:val="00AF0641"/>
    <w:rsid w:val="00AF0D73"/>
    <w:rsid w:val="00AF1916"/>
    <w:rsid w:val="00AF24E5"/>
    <w:rsid w:val="00AF25BE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26E21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04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42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6C0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3EB4"/>
    <w:rsid w:val="00C24A54"/>
    <w:rsid w:val="00C253DD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3340"/>
    <w:rsid w:val="00CA46B3"/>
    <w:rsid w:val="00CA5A92"/>
    <w:rsid w:val="00CA6265"/>
    <w:rsid w:val="00CA653F"/>
    <w:rsid w:val="00CB08E5"/>
    <w:rsid w:val="00CB17E6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099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40C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5F37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2BEB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E784B"/>
    <w:rsid w:val="00DF1346"/>
    <w:rsid w:val="00DF1F0C"/>
    <w:rsid w:val="00DF1F47"/>
    <w:rsid w:val="00DF2B47"/>
    <w:rsid w:val="00DF2DFD"/>
    <w:rsid w:val="00DF2FAD"/>
    <w:rsid w:val="00DF34C2"/>
    <w:rsid w:val="00DF38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09D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4FF5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4D2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153"/>
    <w:rsid w:val="00F1733C"/>
    <w:rsid w:val="00F17393"/>
    <w:rsid w:val="00F17533"/>
    <w:rsid w:val="00F177B2"/>
    <w:rsid w:val="00F20BDD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37DFF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3AE0"/>
    <w:rsid w:val="00FA45D6"/>
    <w:rsid w:val="00FA4AF8"/>
    <w:rsid w:val="00FA6D1D"/>
    <w:rsid w:val="00FB009E"/>
    <w:rsid w:val="00FB035A"/>
    <w:rsid w:val="00FB0AB5"/>
    <w:rsid w:val="00FB12EA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  <w:rsid w:val="06C91713"/>
    <w:rsid w:val="07DE3CAB"/>
    <w:rsid w:val="08056DA4"/>
    <w:rsid w:val="08DFC4EF"/>
    <w:rsid w:val="0B088285"/>
    <w:rsid w:val="0B99C256"/>
    <w:rsid w:val="0BF457F2"/>
    <w:rsid w:val="0D902853"/>
    <w:rsid w:val="120E12CB"/>
    <w:rsid w:val="12702003"/>
    <w:rsid w:val="15A2BC26"/>
    <w:rsid w:val="16172696"/>
    <w:rsid w:val="18504E97"/>
    <w:rsid w:val="18B26405"/>
    <w:rsid w:val="1A7CA9BA"/>
    <w:rsid w:val="1B0F63B6"/>
    <w:rsid w:val="1CF549FB"/>
    <w:rsid w:val="1E6268F7"/>
    <w:rsid w:val="21103623"/>
    <w:rsid w:val="23828AC3"/>
    <w:rsid w:val="25C500CB"/>
    <w:rsid w:val="28A52810"/>
    <w:rsid w:val="2A6BF317"/>
    <w:rsid w:val="2A73944E"/>
    <w:rsid w:val="2B486CE2"/>
    <w:rsid w:val="2E9EFE7E"/>
    <w:rsid w:val="2F603E47"/>
    <w:rsid w:val="3059B8B8"/>
    <w:rsid w:val="31C1F411"/>
    <w:rsid w:val="327EA633"/>
    <w:rsid w:val="33665C2D"/>
    <w:rsid w:val="34889A51"/>
    <w:rsid w:val="349DB074"/>
    <w:rsid w:val="3589FE77"/>
    <w:rsid w:val="35B646F5"/>
    <w:rsid w:val="368CCECB"/>
    <w:rsid w:val="3741B5C1"/>
    <w:rsid w:val="39A244AC"/>
    <w:rsid w:val="3A56FA67"/>
    <w:rsid w:val="3A6F2248"/>
    <w:rsid w:val="3B5CEB8D"/>
    <w:rsid w:val="3D926740"/>
    <w:rsid w:val="3DADD1AB"/>
    <w:rsid w:val="3EB51BCD"/>
    <w:rsid w:val="418ECF8E"/>
    <w:rsid w:val="419C52C0"/>
    <w:rsid w:val="428AA7B8"/>
    <w:rsid w:val="46117CF7"/>
    <w:rsid w:val="48B4D0A2"/>
    <w:rsid w:val="497A6723"/>
    <w:rsid w:val="49F7CE74"/>
    <w:rsid w:val="4A72C35A"/>
    <w:rsid w:val="4A946902"/>
    <w:rsid w:val="4B2B0348"/>
    <w:rsid w:val="4D1800AD"/>
    <w:rsid w:val="4F3519B9"/>
    <w:rsid w:val="4F62122E"/>
    <w:rsid w:val="503D17E6"/>
    <w:rsid w:val="51811C6F"/>
    <w:rsid w:val="56C3F70A"/>
    <w:rsid w:val="58C7DEC2"/>
    <w:rsid w:val="59BEB75F"/>
    <w:rsid w:val="59E2CC37"/>
    <w:rsid w:val="5B614656"/>
    <w:rsid w:val="5CA0265B"/>
    <w:rsid w:val="5D4B7CFE"/>
    <w:rsid w:val="5D7032A2"/>
    <w:rsid w:val="5DB79209"/>
    <w:rsid w:val="5FD8460C"/>
    <w:rsid w:val="60EE0FCF"/>
    <w:rsid w:val="60EF32CB"/>
    <w:rsid w:val="6173977E"/>
    <w:rsid w:val="617E4975"/>
    <w:rsid w:val="61C8C6AA"/>
    <w:rsid w:val="61EEA0EF"/>
    <w:rsid w:val="641DDE9C"/>
    <w:rsid w:val="6612171E"/>
    <w:rsid w:val="685339DC"/>
    <w:rsid w:val="69C27162"/>
    <w:rsid w:val="6AE80CD9"/>
    <w:rsid w:val="6B10F22C"/>
    <w:rsid w:val="6B5A3837"/>
    <w:rsid w:val="6C58C251"/>
    <w:rsid w:val="6C8158A2"/>
    <w:rsid w:val="6E251689"/>
    <w:rsid w:val="6FEECD38"/>
    <w:rsid w:val="7058A028"/>
    <w:rsid w:val="7150E9D6"/>
    <w:rsid w:val="734FC6A4"/>
    <w:rsid w:val="742EE3A8"/>
    <w:rsid w:val="7489AF76"/>
    <w:rsid w:val="74ADC5E8"/>
    <w:rsid w:val="77B2D072"/>
    <w:rsid w:val="7807D348"/>
    <w:rsid w:val="79839256"/>
    <w:rsid w:val="7B4D3B52"/>
    <w:rsid w:val="7DA6A3DE"/>
    <w:rsid w:val="7E3B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79D26192"/>
  <w15:docId w15:val="{445CD10E-AB36-414E-BE8B-9C4F369D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65705D"/>
    <w:pPr>
      <w:suppressAutoHyphens/>
      <w:spacing w:before="120" w:after="120"/>
    </w:pPr>
  </w:style>
  <w:style w:type="paragraph" w:styleId="Heading1">
    <w:name w:val="heading 1"/>
    <w:aliases w:val="H1 Title"/>
    <w:next w:val="Normal"/>
    <w:link w:val="Heading1Char"/>
    <w:uiPriority w:val="4"/>
    <w:qFormat/>
    <w:rsid w:val="00D20099"/>
    <w:pPr>
      <w:keepNext/>
      <w:keepLines/>
      <w:spacing w:before="48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D20099"/>
    <w:pPr>
      <w:suppressAutoHyphens/>
      <w:spacing w:before="12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D20099"/>
    <w:pPr>
      <w:keepNext/>
      <w:keepLines/>
      <w:spacing w:before="12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CA3340"/>
    <w:pPr>
      <w:keepNext/>
      <w:keepLines/>
      <w:spacing w:before="12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D20099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D20099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D20099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CA3340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3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2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1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9"/>
      </w:numPr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F20BDD"/>
    <w:pPr>
      <w:spacing w:before="40" w:after="40"/>
      <w:jc w:val="center"/>
    </w:pPr>
    <w:rPr>
      <w:sz w:val="20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D20099"/>
    <w:pPr>
      <w:keepNext/>
      <w:suppressAutoHyphens w:val="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4"/>
      </w:numPr>
    </w:pPr>
  </w:style>
  <w:style w:type="numbering" w:customStyle="1" w:styleId="ListStyle123">
    <w:name w:val="List Style 123"/>
    <w:uiPriority w:val="99"/>
    <w:rsid w:val="00A97D55"/>
    <w:pPr>
      <w:numPr>
        <w:numId w:val="6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character" w:styleId="CommentReference">
    <w:name w:val="annotation reference"/>
    <w:basedOn w:val="DefaultParagraphFont"/>
    <w:semiHidden/>
    <w:unhideWhenUsed/>
    <w:locked/>
    <w:rsid w:val="000666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0666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66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0666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667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E75D1"/>
    <w:pPr>
      <w:spacing w:before="0" w:after="0"/>
    </w:pPr>
    <w:rPr>
      <w:sz w:val="24"/>
    </w:rPr>
  </w:style>
  <w:style w:type="paragraph" w:customStyle="1" w:styleId="Tabletext">
    <w:name w:val="Table text"/>
    <w:basedOn w:val="Normal"/>
    <w:qFormat/>
    <w:rsid w:val="0065705D"/>
    <w:pPr>
      <w:suppressAutoHyphens w:val="0"/>
      <w:spacing w:before="0" w:after="0" w:line="220" w:lineRule="exact"/>
    </w:pPr>
    <w:rPr>
      <w:rFonts w:eastAsia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htal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469566-ff15-40dd-a806-b3ff38c3d566" xsi:nil="true"/>
    <lcf76f155ced4ddcb4097134ff3c332f xmlns="fff41837-5838-4dec-ad5d-0fd8d2f0516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DDCC8B83AF824A9F5AA360F7EC6EF6" ma:contentTypeVersion="14" ma:contentTypeDescription="Create a new document." ma:contentTypeScope="" ma:versionID="98e58c2b20998fbf5eab7854e0536e3e">
  <xsd:schema xmlns:xsd="http://www.w3.org/2001/XMLSchema" xmlns:xs="http://www.w3.org/2001/XMLSchema" xmlns:p="http://schemas.microsoft.com/office/2006/metadata/properties" xmlns:ns2="fff41837-5838-4dec-ad5d-0fd8d2f05163" xmlns:ns3="95469566-ff15-40dd-a806-b3ff38c3d566" targetNamespace="http://schemas.microsoft.com/office/2006/metadata/properties" ma:root="true" ma:fieldsID="d813c288d8aa3829b1db0c20051b8987" ns2:_="" ns3:_="">
    <xsd:import namespace="fff41837-5838-4dec-ad5d-0fd8d2f05163"/>
    <xsd:import namespace="95469566-ff15-40dd-a806-b3ff38c3d5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41837-5838-4dec-ad5d-0fd8d2f05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69566-ff15-40dd-a806-b3ff38c3d5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4d0a8c0-36a2-46c0-85ba-268e1642d3cb}" ma:internalName="TaxCatchAll" ma:showField="CatchAllData" ma:web="95469566-ff15-40dd-a806-b3ff38c3d5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BF5A84-D146-4B84-B77D-38529A5E057B}">
  <ds:schemaRefs>
    <ds:schemaRef ds:uri="fff41837-5838-4dec-ad5d-0fd8d2f05163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95469566-ff15-40dd-a806-b3ff38c3d566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D5DBE89-F6FE-41AE-8ABD-28ABBDE650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4F814D-EF71-4532-9515-31A0B158F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41837-5838-4dec-ad5d-0fd8d2f05163"/>
    <ds:schemaRef ds:uri="95469566-ff15-40dd-a806-b3ff38c3d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20</TotalTime>
  <Pages>3</Pages>
  <Words>992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Vaccine Protocol Template</vt:lpstr>
    </vt:vector>
  </TitlesOfParts>
  <Company>State of Minnesota</Company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Vaccine Protocol Template</dc:title>
  <dc:subject>Vaccine Protocol Template</dc:subject>
  <dc:creator>Minnesota Dept. of Health</dc:creator>
  <cp:keywords/>
  <dc:description/>
  <cp:lastModifiedBy>Schultz, Tracy (She/Her/Hers) (MDH)</cp:lastModifiedBy>
  <cp:revision>4</cp:revision>
  <cp:lastPrinted>2016-12-14T18:03:00Z</cp:lastPrinted>
  <dcterms:created xsi:type="dcterms:W3CDTF">2025-02-20T21:12:00Z</dcterms:created>
  <dcterms:modified xsi:type="dcterms:W3CDTF">2025-02-20T21:39:00Z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0x010100D2DDCC8B83AF824A9F5AA360F7EC6EF6</vt:lpwstr>
  </property>
  <property fmtid="{D5CDD505-2E9C-101B-9397-08002B2CF9AE}" pid="3" name="_dlc_DocIdItemGuid">
    <vt:lpwstr>5625e6c6-036d-48bf-b86d-616be68688bd</vt:lpwstr>
  </property>
  <property fmtid="{D5CDD505-2E9C-101B-9397-08002B2CF9AE}" pid="4" name="MediaServiceImageTags">
    <vt:lpwstr/>
  </property>
</Properties>
</file>