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CCAB3" w14:textId="3B11F3D2" w:rsidR="006A3584" w:rsidRPr="00BE7935" w:rsidRDefault="001E24C9" w:rsidP="00BE7935">
      <w:pPr>
        <w:pStyle w:val="NormalSmall"/>
      </w:pPr>
      <w:r w:rsidRPr="00BE7935">
        <w:rPr>
          <w:noProof/>
        </w:rPr>
        <w:drawing>
          <wp:inline distT="0" distB="0" distL="0" distR="0" wp14:anchorId="3AC3972E" wp14:editId="7C8B9C05">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1CA807E1" w14:textId="599E4863" w:rsidR="001E24C9" w:rsidRPr="001E24C9" w:rsidRDefault="001E24C9" w:rsidP="001E24C9">
      <w:pPr>
        <w:pStyle w:val="Heading1"/>
        <w:rPr>
          <w:sz w:val="40"/>
          <w:szCs w:val="44"/>
        </w:rPr>
      </w:pPr>
      <w:bookmarkStart w:id="0" w:name="_Hlk61506312"/>
      <w:r w:rsidRPr="00871748">
        <w:rPr>
          <w:sz w:val="40"/>
          <w:szCs w:val="44"/>
        </w:rPr>
        <w:t xml:space="preserve">Health Advisory: </w:t>
      </w:r>
      <w:r w:rsidRPr="003419F1">
        <w:rPr>
          <w:sz w:val="40"/>
          <w:szCs w:val="44"/>
        </w:rPr>
        <w:t>Gonococcal Treatment Change</w:t>
      </w:r>
      <w:bookmarkEnd w:id="0"/>
    </w:p>
    <w:p w14:paraId="6350AE98" w14:textId="77777777" w:rsidR="00BE7935" w:rsidRDefault="00BE7935" w:rsidP="001E24C9">
      <w:pPr>
        <w:pStyle w:val="Heading2"/>
        <w:rPr>
          <w:rFonts w:ascii="Calibri" w:eastAsiaTheme="minorEastAsia" w:hAnsi="Calibri" w:cstheme="minorBidi"/>
          <w:b w:val="0"/>
          <w:color w:val="auto"/>
          <w:spacing w:val="0"/>
          <w:sz w:val="24"/>
          <w:szCs w:val="22"/>
        </w:rPr>
      </w:pPr>
      <w:r w:rsidRPr="00BE7935">
        <w:rPr>
          <w:rFonts w:ascii="Calibri" w:eastAsiaTheme="minorEastAsia" w:hAnsi="Calibri" w:cstheme="minorBidi"/>
          <w:b w:val="0"/>
          <w:color w:val="auto"/>
          <w:spacing w:val="0"/>
          <w:sz w:val="24"/>
          <w:szCs w:val="22"/>
        </w:rPr>
        <w:t>Minnesota Department of Health, Tue, Jan 26 10:00 CST 2021</w:t>
      </w:r>
    </w:p>
    <w:p w14:paraId="110B67AE" w14:textId="44DCBD23" w:rsidR="001E24C9" w:rsidRDefault="001E24C9" w:rsidP="001E24C9">
      <w:pPr>
        <w:pStyle w:val="Heading2"/>
        <w:rPr>
          <w:rFonts w:eastAsia="Times New Roman"/>
          <w:sz w:val="36"/>
        </w:rPr>
      </w:pPr>
      <w:r>
        <w:rPr>
          <w:rFonts w:eastAsia="Times New Roman"/>
        </w:rPr>
        <w:t>Action Steps</w:t>
      </w:r>
    </w:p>
    <w:p w14:paraId="7FA8007F" w14:textId="4E3AEF98" w:rsidR="006501EB" w:rsidRDefault="001E24C9" w:rsidP="006501EB">
      <w:r>
        <w:rPr>
          <w:b/>
          <w:bCs/>
          <w:i/>
          <w:iCs/>
        </w:rPr>
        <w:t>Local and tribal health department</w:t>
      </w:r>
      <w:r>
        <w:t>: Please forward to hospitals, clinics, urgent care centers, emergency departments, and convenience clinics in your jurisdiction.</w:t>
      </w:r>
      <w:r>
        <w:br/>
      </w:r>
      <w:r>
        <w:rPr>
          <w:b/>
          <w:bCs/>
          <w:i/>
          <w:iCs/>
        </w:rPr>
        <w:t>Hospitals, clinics and other facilities</w:t>
      </w:r>
      <w:r>
        <w:t xml:space="preserve">: </w:t>
      </w:r>
      <w:r w:rsidRPr="003419F1">
        <w:t>Please distribute to health care professionals who evaluate and treat patients at risk for sexually transmitted diseases in your jurisdiction</w:t>
      </w:r>
      <w:r>
        <w:t>.</w:t>
      </w:r>
      <w:r>
        <w:br/>
      </w:r>
      <w:r>
        <w:rPr>
          <w:b/>
          <w:bCs/>
          <w:i/>
          <w:iCs/>
        </w:rPr>
        <w:t>Health care providers</w:t>
      </w:r>
      <w:r>
        <w:t xml:space="preserve">: </w:t>
      </w:r>
    </w:p>
    <w:p w14:paraId="3DBC39DB" w14:textId="4AE584E1" w:rsidR="00BE7935" w:rsidRPr="00BE7935" w:rsidRDefault="00BE7935" w:rsidP="00BE7935">
      <w:pPr>
        <w:numPr>
          <w:ilvl w:val="0"/>
          <w:numId w:val="39"/>
        </w:numPr>
        <w:tabs>
          <w:tab w:val="left" w:pos="836"/>
        </w:tabs>
        <w:suppressAutoHyphens/>
        <w:kinsoku w:val="0"/>
        <w:overflowPunct w:val="0"/>
        <w:autoSpaceDE w:val="0"/>
        <w:autoSpaceDN w:val="0"/>
        <w:adjustRightInd w:val="0"/>
        <w:spacing w:before="120" w:after="120"/>
        <w:contextualSpacing/>
        <w:rPr>
          <w:b/>
          <w:bCs/>
          <w:sz w:val="24"/>
          <w:szCs w:val="24"/>
        </w:rPr>
      </w:pPr>
      <w:r w:rsidRPr="00BE7935">
        <w:rPr>
          <w:b/>
          <w:bCs/>
          <w:sz w:val="24"/>
          <w:szCs w:val="24"/>
        </w:rPr>
        <w:t>Use a single 500 mg injection of ceftriaxone to treat uncomplicated cases of urogenital, anal and pharyngeal gonorrhea in people without a history of allergies. Dual treatment with Azithromycin is no longer recommended.</w:t>
      </w:r>
    </w:p>
    <w:p w14:paraId="36328EE7" w14:textId="21CC7802" w:rsidR="00BE7935" w:rsidRPr="00BE7935" w:rsidRDefault="00BE7935" w:rsidP="00BE7935">
      <w:pPr>
        <w:numPr>
          <w:ilvl w:val="0"/>
          <w:numId w:val="39"/>
        </w:numPr>
        <w:tabs>
          <w:tab w:val="left" w:pos="836"/>
        </w:tabs>
        <w:suppressAutoHyphens/>
        <w:kinsoku w:val="0"/>
        <w:overflowPunct w:val="0"/>
        <w:autoSpaceDE w:val="0"/>
        <w:autoSpaceDN w:val="0"/>
        <w:adjustRightInd w:val="0"/>
        <w:spacing w:before="120" w:after="120"/>
        <w:contextualSpacing/>
        <w:rPr>
          <w:sz w:val="24"/>
          <w:szCs w:val="24"/>
        </w:rPr>
      </w:pPr>
      <w:r w:rsidRPr="00BE7935">
        <w:rPr>
          <w:sz w:val="24"/>
          <w:szCs w:val="24"/>
        </w:rPr>
        <w:t xml:space="preserve">If chlamydial infection has not been excluded in patients who are not pregnant, treat concurrently with doxycycline 100 mg orally twice a day for 7 days. </w:t>
      </w:r>
    </w:p>
    <w:p w14:paraId="50EFC5E0" w14:textId="4CA1042A" w:rsidR="006501EB" w:rsidRPr="00BE7935" w:rsidRDefault="00BE7935" w:rsidP="00BE7935">
      <w:pPr>
        <w:numPr>
          <w:ilvl w:val="0"/>
          <w:numId w:val="39"/>
        </w:numPr>
        <w:tabs>
          <w:tab w:val="left" w:pos="836"/>
        </w:tabs>
        <w:suppressAutoHyphens/>
        <w:kinsoku w:val="0"/>
        <w:overflowPunct w:val="0"/>
        <w:autoSpaceDE w:val="0"/>
        <w:autoSpaceDN w:val="0"/>
        <w:adjustRightInd w:val="0"/>
        <w:spacing w:before="120" w:after="120"/>
        <w:contextualSpacing/>
        <w:rPr>
          <w:sz w:val="24"/>
          <w:szCs w:val="24"/>
        </w:rPr>
      </w:pPr>
      <w:r w:rsidRPr="00BE7935">
        <w:rPr>
          <w:sz w:val="24"/>
          <w:szCs w:val="24"/>
        </w:rPr>
        <w:t>Sign up for MDH GovDelivery for HIV/STD Prevention and Data Updates to get notified when the new CDC guidelines are released and other key STD updates.</w:t>
      </w:r>
      <w:r w:rsidR="006501EB" w:rsidRPr="00BE7935">
        <w:rPr>
          <w:sz w:val="24"/>
          <w:szCs w:val="24"/>
        </w:rPr>
        <w:t xml:space="preserve"> </w:t>
      </w:r>
    </w:p>
    <w:p w14:paraId="608B163D" w14:textId="77777777" w:rsidR="00BE7935" w:rsidRDefault="00BE7935" w:rsidP="00BE7935">
      <w:pPr>
        <w:pStyle w:val="Heading2"/>
      </w:pPr>
      <w:r>
        <w:t>Background</w:t>
      </w:r>
    </w:p>
    <w:p w14:paraId="1EEDBE1E" w14:textId="77777777" w:rsidR="00BE7935" w:rsidRDefault="00BE7935" w:rsidP="00BE7935">
      <w:pPr>
        <w:spacing w:after="120"/>
      </w:pPr>
      <w:r>
        <w:t xml:space="preserve">Sexually Transmitted Disease/Sexually Transmitted Infections (STD/STI) rates continue to rise across the U.S., especially rates of gonorrhea (GC) and syphilis. Preliminary 2020 data indicate several cases of disseminated gonorrhea infection (DGI) were reported in Minnesota this past year. While DGI is uncommon, there is concern that as the number of infections increases both statewide and nationally, the number of DGI cases will follow that trend as well. DGI occurs in people with untreated or inadequately treated gonorrhea when it invades the bloodstream and spreads to distant sites in the body. </w:t>
      </w:r>
    </w:p>
    <w:p w14:paraId="08C8DD28" w14:textId="71C81D42" w:rsidR="00BE7935" w:rsidRDefault="00BE7935" w:rsidP="00BE7935">
      <w:r>
        <w:t>Drug-resistant gonorrhea remains an urgent public health threat</w:t>
      </w:r>
      <w:r w:rsidR="00031EA9">
        <w:t>,</w:t>
      </w:r>
      <w:r>
        <w:t xml:space="preserve"> even though no cases have been confirmed in the U.S. yet. This includes increasing resistance to azithromycin. Effective, accurate, timely treatment for gonorrhea is key to slowing antibiotic resistance, reducing serious complications, and in preventing transmission. Management of all STDs should be guided by the 2015 CDC STD Treatment Guidelines. Hospitalization and consultation with an infectious disease specialist when appropriate is also recommended. </w:t>
      </w:r>
    </w:p>
    <w:p w14:paraId="122E9914" w14:textId="070C9550" w:rsidR="00BE7935" w:rsidRDefault="00BE7935" w:rsidP="00BE7935">
      <w:pPr>
        <w:pStyle w:val="Heading3"/>
      </w:pPr>
      <w:r>
        <w:t>Additional Details on Managing Gonorrhea</w:t>
      </w:r>
    </w:p>
    <w:p w14:paraId="1A2D062E" w14:textId="77777777" w:rsidR="00BE7935" w:rsidRDefault="00BE7935" w:rsidP="00BE7935">
      <w:pPr>
        <w:pStyle w:val="ListParagraph"/>
        <w:numPr>
          <w:ilvl w:val="0"/>
          <w:numId w:val="44"/>
        </w:numPr>
      </w:pPr>
      <w:r>
        <w:t>Continue to follow all other STD Treatment Guidelines published in 2015 until new Guidelines are released in 2021.</w:t>
      </w:r>
    </w:p>
    <w:p w14:paraId="1F19AAA5" w14:textId="77777777" w:rsidR="00BE7935" w:rsidRDefault="00BE7935" w:rsidP="00BE7935">
      <w:pPr>
        <w:pStyle w:val="ListParagraph"/>
        <w:numPr>
          <w:ilvl w:val="0"/>
          <w:numId w:val="44"/>
        </w:numPr>
      </w:pPr>
      <w:r>
        <w:t xml:space="preserve">During pregnancy, if a person is diagnosed with gonorrhea and chlamydia, azithromycin 1 g as a single dose is recommended to treat chlamydia since doxycycline is contraindicated. </w:t>
      </w:r>
    </w:p>
    <w:p w14:paraId="3D1844AD" w14:textId="77777777" w:rsidR="00BE7935" w:rsidRDefault="00BE7935" w:rsidP="00BE7935">
      <w:pPr>
        <w:pStyle w:val="ListParagraph"/>
        <w:numPr>
          <w:ilvl w:val="0"/>
          <w:numId w:val="44"/>
        </w:numPr>
      </w:pPr>
      <w:r>
        <w:t>Gentamycin 240 mg IM single dose plus azithromycin 2 g orally remains the alternative regimen for gonorrhea treatment when ceftriaxone is not available.</w:t>
      </w:r>
    </w:p>
    <w:p w14:paraId="5821C0C3" w14:textId="44784DEF" w:rsidR="00BE7935" w:rsidRDefault="00BE7935" w:rsidP="00BE7935">
      <w:pPr>
        <w:pStyle w:val="ListParagraph"/>
        <w:numPr>
          <w:ilvl w:val="0"/>
          <w:numId w:val="44"/>
        </w:numPr>
      </w:pPr>
      <w:r>
        <w:t>Continue to monitor for possible treatment failures and report those to MDH.</w:t>
      </w:r>
      <w:r w:rsidR="006951FA">
        <w:t xml:space="preserve"> </w:t>
      </w:r>
      <w:r w:rsidR="006951FA">
        <w:rPr>
          <w:rFonts w:eastAsia="Times New Roman"/>
        </w:rPr>
        <w:t>If treatment failure suspected, consider obtaining relevant clinical specimen – contact MDH-Public Health Lab for more information on specimen specifics, 651-201-5200.</w:t>
      </w:r>
    </w:p>
    <w:p w14:paraId="713389E2" w14:textId="77777777" w:rsidR="00BE7935" w:rsidRDefault="00BE7935" w:rsidP="00BE7935">
      <w:pPr>
        <w:pStyle w:val="Heading2"/>
      </w:pPr>
      <w:r>
        <w:lastRenderedPageBreak/>
        <w:t>New CDC STD Treatment Guidelines</w:t>
      </w:r>
    </w:p>
    <w:p w14:paraId="106A6A3B" w14:textId="77777777" w:rsidR="00BE7935" w:rsidRDefault="00BE7935" w:rsidP="00BE7935">
      <w:r>
        <w:t>CDC expects to publish new treatment guidelines soon. Sign up for MDH GovDelivery for HIV/STD Prevention and Data Updates to get notified when new guidelines are released and receive other STD updates.</w:t>
      </w:r>
    </w:p>
    <w:p w14:paraId="2E3FB8F7" w14:textId="77777777" w:rsidR="00BE7935" w:rsidRDefault="00BE7935" w:rsidP="00BE7935">
      <w:pPr>
        <w:pStyle w:val="Heading2"/>
      </w:pPr>
      <w:r>
        <w:t>For More Information</w:t>
      </w:r>
    </w:p>
    <w:p w14:paraId="0332F324" w14:textId="77777777" w:rsidR="00BE7935" w:rsidRDefault="00BE7935" w:rsidP="00BE7935">
      <w:pPr>
        <w:pStyle w:val="ListParagraph"/>
        <w:numPr>
          <w:ilvl w:val="0"/>
          <w:numId w:val="45"/>
        </w:numPr>
      </w:pPr>
      <w:r>
        <w:t>MMWR: Update to CDC's Treatment Guidelines for Gonococcal Infection, 2020</w:t>
      </w:r>
    </w:p>
    <w:p w14:paraId="0E33B62F" w14:textId="77777777" w:rsidR="00BE7935" w:rsidRDefault="00BE7935" w:rsidP="00BE7935">
      <w:pPr>
        <w:pStyle w:val="ListParagraph"/>
        <w:numPr>
          <w:ilvl w:val="0"/>
          <w:numId w:val="45"/>
        </w:numPr>
      </w:pPr>
      <w:r>
        <w:t>MDH Gonorrhea Information for Health Professionals</w:t>
      </w:r>
    </w:p>
    <w:p w14:paraId="00933B34" w14:textId="77777777" w:rsidR="00BE7935" w:rsidRDefault="00BE7935" w:rsidP="00BE7935">
      <w:pPr>
        <w:pStyle w:val="ListParagraph"/>
        <w:numPr>
          <w:ilvl w:val="0"/>
          <w:numId w:val="45"/>
        </w:numPr>
      </w:pPr>
      <w:r>
        <w:t>CDC 2015 Sexually Transmitted Diseases Treatment Guidelines: Current CDC guidelines.</w:t>
      </w:r>
    </w:p>
    <w:p w14:paraId="52BA29F0" w14:textId="77777777" w:rsidR="00BE7935" w:rsidRDefault="00BE7935" w:rsidP="00BE7935"/>
    <w:p w14:paraId="4AE7AE45" w14:textId="77777777" w:rsidR="00BE7935" w:rsidRDefault="00BE7935" w:rsidP="00BE7935">
      <w:r>
        <w:t>A copy of this HAN is available at: MDH Health Alert Network (http://www.health.state.mn.us/han)</w:t>
      </w:r>
    </w:p>
    <w:p w14:paraId="386E7B55" w14:textId="35157990" w:rsidR="00BE7935" w:rsidRDefault="00BE7935" w:rsidP="00BE7935">
      <w:r>
        <w:t>The content of this message is intended for public health and health care personnel and response partners who have a need to know the information to perform their duties.</w:t>
      </w:r>
    </w:p>
    <w:sectPr w:rsidR="00BE7935" w:rsidSect="00C361D7">
      <w:headerReference w:type="default" r:id="rId9"/>
      <w:footerReference w:type="default" r:id="rId10"/>
      <w:type w:val="continuous"/>
      <w:pgSz w:w="12240" w:h="15840"/>
      <w:pgMar w:top="720" w:right="1440" w:bottom="720" w:left="1440" w:header="720" w:footer="518"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53162" w14:textId="77777777" w:rsidR="006501EB" w:rsidRDefault="006501EB" w:rsidP="00D36495">
      <w:r>
        <w:separator/>
      </w:r>
    </w:p>
  </w:endnote>
  <w:endnote w:type="continuationSeparator" w:id="0">
    <w:p w14:paraId="2C536A61" w14:textId="77777777" w:rsidR="006501EB" w:rsidRDefault="006501EB"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433066"/>
      <w:docPartObj>
        <w:docPartGallery w:val="Page Numbers (Bottom of Page)"/>
        <w:docPartUnique/>
      </w:docPartObj>
    </w:sdtPr>
    <w:sdtEndPr/>
    <w:sdtContent>
      <w:p w14:paraId="3D6A1380" w14:textId="77777777" w:rsidR="000F7548" w:rsidRDefault="000F7548">
        <w:r w:rsidRPr="000F7548">
          <w:fldChar w:fldCharType="begin"/>
        </w:r>
        <w:r w:rsidRPr="000F7548">
          <w:instrText xml:space="preserve"> PAGE   \* MERGEFORMAT </w:instrText>
        </w:r>
        <w:r w:rsidRPr="000F7548">
          <w:fldChar w:fldCharType="separate"/>
        </w:r>
        <w:r w:rsidR="00E92AB8">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D3A21" w14:textId="77777777" w:rsidR="006501EB" w:rsidRDefault="006501EB" w:rsidP="00D36495">
      <w:r>
        <w:separator/>
      </w:r>
    </w:p>
  </w:footnote>
  <w:footnote w:type="continuationSeparator" w:id="0">
    <w:p w14:paraId="0DD1FCD9" w14:textId="77777777" w:rsidR="006501EB" w:rsidRDefault="006501EB"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ED2F" w14:textId="06423224" w:rsidR="00782710" w:rsidRPr="00BE7935" w:rsidRDefault="00BE7935" w:rsidP="00BE7935">
    <w:pPr>
      <w:pStyle w:val="Header"/>
    </w:pPr>
    <w:r w:rsidRPr="00BE7935">
      <w:t>Health Advisory: Gonococcal Treatment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AE03F06"/>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E8C09D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1931392"/>
    <w:multiLevelType w:val="hybridMultilevel"/>
    <w:tmpl w:val="EA14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30ED4"/>
    <w:multiLevelType w:val="multilevel"/>
    <w:tmpl w:val="3F48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171A7890"/>
    <w:multiLevelType w:val="hybridMultilevel"/>
    <w:tmpl w:val="785A7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ED03C0"/>
    <w:multiLevelType w:val="hybridMultilevel"/>
    <w:tmpl w:val="785A7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41577F"/>
    <w:multiLevelType w:val="hybridMultilevel"/>
    <w:tmpl w:val="DD76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3513D"/>
    <w:multiLevelType w:val="multilevel"/>
    <w:tmpl w:val="E6141A12"/>
    <w:styleLink w:val="Listbullets"/>
    <w:lvl w:ilvl="0">
      <w:start w:val="1"/>
      <w:numFmt w:val="bullet"/>
      <w:lvlText w:val="▪"/>
      <w:lvlJc w:val="left"/>
      <w:pPr>
        <w:tabs>
          <w:tab w:val="num" w:pos="360"/>
        </w:tabs>
        <w:ind w:left="360" w:hanging="360"/>
      </w:pPr>
      <w:rPr>
        <w:rFonts w:ascii="Calibri" w:hAnsi="Calibri" w:hint="default"/>
        <w:color w:val="147C84" w:themeColor="accent3" w:themeShade="80"/>
      </w:rPr>
    </w:lvl>
    <w:lvl w:ilvl="1">
      <w:start w:val="1"/>
      <w:numFmt w:val="bullet"/>
      <w:lvlText w:val="▪"/>
      <w:lvlJc w:val="left"/>
      <w:pPr>
        <w:tabs>
          <w:tab w:val="num" w:pos="720"/>
        </w:tabs>
        <w:ind w:left="720" w:hanging="360"/>
      </w:pPr>
      <w:rPr>
        <w:rFonts w:ascii="Calibri" w:hAnsi="Calibri" w:hint="default"/>
        <w:color w:val="147C84" w:themeColor="accent3" w:themeShade="80"/>
      </w:rPr>
    </w:lvl>
    <w:lvl w:ilvl="2">
      <w:start w:val="1"/>
      <w:numFmt w:val="bullet"/>
      <w:lvlText w:val="▪"/>
      <w:lvlJc w:val="left"/>
      <w:pPr>
        <w:tabs>
          <w:tab w:val="num" w:pos="1080"/>
        </w:tabs>
        <w:ind w:left="1080" w:hanging="360"/>
      </w:pPr>
      <w:rPr>
        <w:rFonts w:ascii="Calibri" w:hAnsi="Calibri" w:hint="default"/>
        <w:color w:val="147C84" w:themeColor="accent3" w:themeShade="80"/>
      </w:rPr>
    </w:lvl>
    <w:lvl w:ilvl="3">
      <w:start w:val="1"/>
      <w:numFmt w:val="bullet"/>
      <w:lvlText w:val="▪"/>
      <w:lvlJc w:val="left"/>
      <w:pPr>
        <w:tabs>
          <w:tab w:val="num" w:pos="1440"/>
        </w:tabs>
        <w:ind w:left="1440" w:hanging="360"/>
      </w:pPr>
      <w:rPr>
        <w:rFonts w:ascii="Calibri" w:hAnsi="Calibri" w:hint="default"/>
        <w:color w:val="147C84" w:themeColor="accent3" w:themeShade="80"/>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0" w15:restartNumberingAfterBreak="0">
    <w:nsid w:val="3DDB4DF1"/>
    <w:multiLevelType w:val="hybridMultilevel"/>
    <w:tmpl w:val="785A7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1E239B3"/>
    <w:multiLevelType w:val="multilevel"/>
    <w:tmpl w:val="84182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90796"/>
    <w:multiLevelType w:val="hybridMultilevel"/>
    <w:tmpl w:val="5E3230AC"/>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B2E32"/>
    <w:multiLevelType w:val="hybridMultilevel"/>
    <w:tmpl w:val="EDB26A42"/>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5241B"/>
    <w:multiLevelType w:val="multilevel"/>
    <w:tmpl w:val="BB34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590B93"/>
    <w:multiLevelType w:val="hybridMultilevel"/>
    <w:tmpl w:val="7A688696"/>
    <w:lvl w:ilvl="0" w:tplc="1EFAB3A8">
      <w:start w:val="1"/>
      <w:numFmt w:val="bullet"/>
      <w:lvlText w:val=""/>
      <w:lvlJc w:val="left"/>
      <w:pPr>
        <w:ind w:left="720" w:hanging="360"/>
      </w:pPr>
      <w:rPr>
        <w:rFonts w:ascii="Wingdings" w:hAnsi="Wingdings" w:hint="default"/>
        <w:color w:val="0281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53883"/>
    <w:multiLevelType w:val="multilevel"/>
    <w:tmpl w:val="A2BA43AE"/>
    <w:lvl w:ilvl="0">
      <w:start w:val="1"/>
      <w:numFmt w:val="bullet"/>
      <w:pStyle w:val="List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Wingdings" w:hAnsi="Wingdings" w:hint="default"/>
        <w:color w:val="0281A2"/>
      </w:rPr>
    </w:lvl>
    <w:lvl w:ilvl="2">
      <w:start w:val="1"/>
      <w:numFmt w:val="bullet"/>
      <w:lvlText w:val=""/>
      <w:lvlJc w:val="left"/>
      <w:pPr>
        <w:tabs>
          <w:tab w:val="num" w:pos="1296"/>
        </w:tabs>
        <w:ind w:left="1296" w:hanging="432"/>
      </w:pPr>
      <w:rPr>
        <w:rFonts w:ascii="Wingdings" w:hAnsi="Wingdings" w:hint="default"/>
        <w:color w:val="0281A2"/>
      </w:rPr>
    </w:lvl>
    <w:lvl w:ilvl="3">
      <w:start w:val="1"/>
      <w:numFmt w:val="bullet"/>
      <w:lvlText w:val=""/>
      <w:lvlJc w:val="left"/>
      <w:pPr>
        <w:tabs>
          <w:tab w:val="num" w:pos="1728"/>
        </w:tabs>
        <w:ind w:left="1728" w:hanging="432"/>
      </w:pPr>
      <w:rPr>
        <w:rFonts w:ascii="Wingdings" w:hAnsi="Wingdings" w:hint="default"/>
        <w:color w:val="0281A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7" w15:restartNumberingAfterBreak="0">
    <w:nsid w:val="7A4A2979"/>
    <w:multiLevelType w:val="hybridMultilevel"/>
    <w:tmpl w:val="6278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6"/>
  </w:num>
  <w:num w:numId="5">
    <w:abstractNumId w:val="5"/>
  </w:num>
  <w:num w:numId="6">
    <w:abstractNumId w:val="2"/>
  </w:num>
  <w:num w:numId="7">
    <w:abstractNumId w:val="9"/>
  </w:num>
  <w:num w:numId="8">
    <w:abstractNumId w:val="16"/>
  </w:num>
  <w:num w:numId="9">
    <w:abstractNumId w:val="2"/>
  </w:num>
  <w:num w:numId="10">
    <w:abstractNumId w:val="1"/>
  </w:num>
  <w:num w:numId="11">
    <w:abstractNumId w:val="0"/>
  </w:num>
  <w:num w:numId="12">
    <w:abstractNumId w:val="16"/>
  </w:num>
  <w:num w:numId="13">
    <w:abstractNumId w:val="9"/>
  </w:num>
  <w:num w:numId="14">
    <w:abstractNumId w:val="5"/>
  </w:num>
  <w:num w:numId="15">
    <w:abstractNumId w:val="16"/>
  </w:num>
  <w:num w:numId="16">
    <w:abstractNumId w:val="2"/>
  </w:num>
  <w:num w:numId="17">
    <w:abstractNumId w:val="1"/>
  </w:num>
  <w:num w:numId="18">
    <w:abstractNumId w:val="0"/>
  </w:num>
  <w:num w:numId="19">
    <w:abstractNumId w:val="16"/>
  </w:num>
  <w:num w:numId="20">
    <w:abstractNumId w:val="9"/>
  </w:num>
  <w:num w:numId="21">
    <w:abstractNumId w:val="5"/>
  </w:num>
  <w:num w:numId="22">
    <w:abstractNumId w:val="9"/>
  </w:num>
  <w:num w:numId="23">
    <w:abstractNumId w:val="16"/>
  </w:num>
  <w:num w:numId="24">
    <w:abstractNumId w:val="2"/>
  </w:num>
  <w:num w:numId="25">
    <w:abstractNumId w:val="1"/>
  </w:num>
  <w:num w:numId="26">
    <w:abstractNumId w:val="0"/>
  </w:num>
  <w:num w:numId="27">
    <w:abstractNumId w:val="16"/>
  </w:num>
  <w:num w:numId="28">
    <w:abstractNumId w:val="9"/>
  </w:num>
  <w:num w:numId="29">
    <w:abstractNumId w:val="5"/>
  </w:num>
  <w:num w:numId="30">
    <w:abstractNumId w:val="16"/>
  </w:num>
  <w:num w:numId="31">
    <w:abstractNumId w:val="16"/>
  </w:num>
  <w:num w:numId="32">
    <w:abstractNumId w:val="9"/>
  </w:num>
  <w:num w:numId="33">
    <w:abstractNumId w:val="12"/>
  </w:num>
  <w:num w:numId="34">
    <w:abstractNumId w:val="15"/>
  </w:num>
  <w:num w:numId="35">
    <w:abstractNumId w:val="13"/>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4"/>
  </w:num>
  <w:num w:numId="41">
    <w:abstractNumId w:val="11"/>
  </w:num>
  <w:num w:numId="42">
    <w:abstractNumId w:val="4"/>
  </w:num>
  <w:num w:numId="43">
    <w:abstractNumId w:val="6"/>
  </w:num>
  <w:num w:numId="44">
    <w:abstractNumId w:val="17"/>
  </w:num>
  <w:num w:numId="4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EB"/>
    <w:rsid w:val="000009FC"/>
    <w:rsid w:val="00001775"/>
    <w:rsid w:val="000021B3"/>
    <w:rsid w:val="000050B3"/>
    <w:rsid w:val="0000588B"/>
    <w:rsid w:val="0000649A"/>
    <w:rsid w:val="00006C0D"/>
    <w:rsid w:val="00006CDB"/>
    <w:rsid w:val="00007022"/>
    <w:rsid w:val="000075C5"/>
    <w:rsid w:val="00007995"/>
    <w:rsid w:val="00010174"/>
    <w:rsid w:val="00010828"/>
    <w:rsid w:val="00011548"/>
    <w:rsid w:val="000117CE"/>
    <w:rsid w:val="00013349"/>
    <w:rsid w:val="00013730"/>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EA9"/>
    <w:rsid w:val="00031F02"/>
    <w:rsid w:val="00032B98"/>
    <w:rsid w:val="00032F92"/>
    <w:rsid w:val="00033BA3"/>
    <w:rsid w:val="00034366"/>
    <w:rsid w:val="00036461"/>
    <w:rsid w:val="000367DD"/>
    <w:rsid w:val="00036CD8"/>
    <w:rsid w:val="00037510"/>
    <w:rsid w:val="0004046D"/>
    <w:rsid w:val="00041F7C"/>
    <w:rsid w:val="00042929"/>
    <w:rsid w:val="00042A53"/>
    <w:rsid w:val="0004316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35F"/>
    <w:rsid w:val="00057AE7"/>
    <w:rsid w:val="00060165"/>
    <w:rsid w:val="00060A8A"/>
    <w:rsid w:val="00061630"/>
    <w:rsid w:val="0006187C"/>
    <w:rsid w:val="00062368"/>
    <w:rsid w:val="00062B55"/>
    <w:rsid w:val="000631ED"/>
    <w:rsid w:val="00063E00"/>
    <w:rsid w:val="00065579"/>
    <w:rsid w:val="00065611"/>
    <w:rsid w:val="000657C4"/>
    <w:rsid w:val="000671DA"/>
    <w:rsid w:val="00067319"/>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3BB5"/>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33F"/>
    <w:rsid w:val="000E3716"/>
    <w:rsid w:val="000E3D1F"/>
    <w:rsid w:val="000E468E"/>
    <w:rsid w:val="000E542E"/>
    <w:rsid w:val="000E7E99"/>
    <w:rsid w:val="000F06EF"/>
    <w:rsid w:val="000F106A"/>
    <w:rsid w:val="000F1830"/>
    <w:rsid w:val="000F252A"/>
    <w:rsid w:val="000F25A2"/>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0E1"/>
    <w:rsid w:val="001328FE"/>
    <w:rsid w:val="00133CB3"/>
    <w:rsid w:val="0013503D"/>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558"/>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1E74"/>
    <w:rsid w:val="001C250B"/>
    <w:rsid w:val="001C3CC2"/>
    <w:rsid w:val="001C477F"/>
    <w:rsid w:val="001C5000"/>
    <w:rsid w:val="001C5446"/>
    <w:rsid w:val="001C57DD"/>
    <w:rsid w:val="001C5B31"/>
    <w:rsid w:val="001C6440"/>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4C9"/>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AA"/>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4C13"/>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040D"/>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755"/>
    <w:rsid w:val="00375FE3"/>
    <w:rsid w:val="0037686E"/>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1649"/>
    <w:rsid w:val="003A231A"/>
    <w:rsid w:val="003A2ABE"/>
    <w:rsid w:val="003A3852"/>
    <w:rsid w:val="003A4215"/>
    <w:rsid w:val="003A4D1D"/>
    <w:rsid w:val="003A59EB"/>
    <w:rsid w:val="003A6BE3"/>
    <w:rsid w:val="003A6C29"/>
    <w:rsid w:val="003A6FED"/>
    <w:rsid w:val="003B092A"/>
    <w:rsid w:val="003B09B2"/>
    <w:rsid w:val="003B18A1"/>
    <w:rsid w:val="003B35E3"/>
    <w:rsid w:val="003B43F4"/>
    <w:rsid w:val="003B4A33"/>
    <w:rsid w:val="003B50D0"/>
    <w:rsid w:val="003B608A"/>
    <w:rsid w:val="003B64CE"/>
    <w:rsid w:val="003B6601"/>
    <w:rsid w:val="003C025C"/>
    <w:rsid w:val="003C088D"/>
    <w:rsid w:val="003C1F71"/>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397"/>
    <w:rsid w:val="003E55CC"/>
    <w:rsid w:val="003E6204"/>
    <w:rsid w:val="003E6882"/>
    <w:rsid w:val="003E6A73"/>
    <w:rsid w:val="003E7AAD"/>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64A2"/>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4"/>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92A"/>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631B"/>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292"/>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6A92"/>
    <w:rsid w:val="00521929"/>
    <w:rsid w:val="00521A75"/>
    <w:rsid w:val="00522182"/>
    <w:rsid w:val="005239F8"/>
    <w:rsid w:val="005262AE"/>
    <w:rsid w:val="00526BF2"/>
    <w:rsid w:val="00526DE5"/>
    <w:rsid w:val="00526EB5"/>
    <w:rsid w:val="00527542"/>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AC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648"/>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433B"/>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0A59"/>
    <w:rsid w:val="00642B0A"/>
    <w:rsid w:val="0064370C"/>
    <w:rsid w:val="006451D1"/>
    <w:rsid w:val="0064539F"/>
    <w:rsid w:val="006457BC"/>
    <w:rsid w:val="00645BB2"/>
    <w:rsid w:val="00645F82"/>
    <w:rsid w:val="00646682"/>
    <w:rsid w:val="00647AB8"/>
    <w:rsid w:val="006501EB"/>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4C17"/>
    <w:rsid w:val="00685568"/>
    <w:rsid w:val="00685B45"/>
    <w:rsid w:val="006866C5"/>
    <w:rsid w:val="00686D03"/>
    <w:rsid w:val="006900DF"/>
    <w:rsid w:val="00690CC8"/>
    <w:rsid w:val="00691633"/>
    <w:rsid w:val="0069299A"/>
    <w:rsid w:val="00692A59"/>
    <w:rsid w:val="0069359F"/>
    <w:rsid w:val="00693DD1"/>
    <w:rsid w:val="006951FA"/>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3EA0"/>
    <w:rsid w:val="00744267"/>
    <w:rsid w:val="00745515"/>
    <w:rsid w:val="007475A7"/>
    <w:rsid w:val="00750A74"/>
    <w:rsid w:val="00750FBF"/>
    <w:rsid w:val="0075100F"/>
    <w:rsid w:val="0075123D"/>
    <w:rsid w:val="007520DC"/>
    <w:rsid w:val="0075298F"/>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5F3"/>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362C"/>
    <w:rsid w:val="007A41BF"/>
    <w:rsid w:val="007A508C"/>
    <w:rsid w:val="007A59DB"/>
    <w:rsid w:val="007A6379"/>
    <w:rsid w:val="007A765B"/>
    <w:rsid w:val="007A7B82"/>
    <w:rsid w:val="007B1A35"/>
    <w:rsid w:val="007B25C5"/>
    <w:rsid w:val="007B3222"/>
    <w:rsid w:val="007B34F4"/>
    <w:rsid w:val="007B4052"/>
    <w:rsid w:val="007B4571"/>
    <w:rsid w:val="007B4AB5"/>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B6A"/>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60E"/>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3BB"/>
    <w:rsid w:val="00822457"/>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589"/>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4F87"/>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3DA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38D"/>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274"/>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94F"/>
    <w:rsid w:val="009B2FB2"/>
    <w:rsid w:val="009B4590"/>
    <w:rsid w:val="009B5357"/>
    <w:rsid w:val="009B5659"/>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2667"/>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7D"/>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692"/>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3E74"/>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686"/>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9AC"/>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E7935"/>
    <w:rsid w:val="00BF063B"/>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3CEB"/>
    <w:rsid w:val="00C2407E"/>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1D7"/>
    <w:rsid w:val="00C3671E"/>
    <w:rsid w:val="00C36A8C"/>
    <w:rsid w:val="00C411A2"/>
    <w:rsid w:val="00C4143B"/>
    <w:rsid w:val="00C41855"/>
    <w:rsid w:val="00C42060"/>
    <w:rsid w:val="00C42D1F"/>
    <w:rsid w:val="00C43273"/>
    <w:rsid w:val="00C45326"/>
    <w:rsid w:val="00C46952"/>
    <w:rsid w:val="00C46B6A"/>
    <w:rsid w:val="00C47156"/>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18FC"/>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32"/>
    <w:rsid w:val="00CE57DF"/>
    <w:rsid w:val="00CE61A6"/>
    <w:rsid w:val="00CE6485"/>
    <w:rsid w:val="00CE65E8"/>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A86"/>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944"/>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3E9"/>
    <w:rsid w:val="00DB6910"/>
    <w:rsid w:val="00DB7136"/>
    <w:rsid w:val="00DB74B6"/>
    <w:rsid w:val="00DB7F98"/>
    <w:rsid w:val="00DC0611"/>
    <w:rsid w:val="00DC2F87"/>
    <w:rsid w:val="00DC31E5"/>
    <w:rsid w:val="00DC447E"/>
    <w:rsid w:val="00DC45AA"/>
    <w:rsid w:val="00DC478F"/>
    <w:rsid w:val="00DC5CA7"/>
    <w:rsid w:val="00DC5D25"/>
    <w:rsid w:val="00DC75D5"/>
    <w:rsid w:val="00DC7C10"/>
    <w:rsid w:val="00DD0F6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EA"/>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7F8"/>
    <w:rsid w:val="00E178FF"/>
    <w:rsid w:val="00E17E9C"/>
    <w:rsid w:val="00E20657"/>
    <w:rsid w:val="00E2273F"/>
    <w:rsid w:val="00E23983"/>
    <w:rsid w:val="00E26C79"/>
    <w:rsid w:val="00E27093"/>
    <w:rsid w:val="00E30312"/>
    <w:rsid w:val="00E30A8C"/>
    <w:rsid w:val="00E322BE"/>
    <w:rsid w:val="00E332F9"/>
    <w:rsid w:val="00E335BA"/>
    <w:rsid w:val="00E34975"/>
    <w:rsid w:val="00E35C6E"/>
    <w:rsid w:val="00E35E7D"/>
    <w:rsid w:val="00E36105"/>
    <w:rsid w:val="00E3676B"/>
    <w:rsid w:val="00E36C8C"/>
    <w:rsid w:val="00E371E4"/>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122"/>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FBF"/>
    <w:rsid w:val="00E91497"/>
    <w:rsid w:val="00E91F0C"/>
    <w:rsid w:val="00E92154"/>
    <w:rsid w:val="00E929AA"/>
    <w:rsid w:val="00E929CD"/>
    <w:rsid w:val="00E92AB8"/>
    <w:rsid w:val="00E936A7"/>
    <w:rsid w:val="00E93762"/>
    <w:rsid w:val="00E9398F"/>
    <w:rsid w:val="00E939DE"/>
    <w:rsid w:val="00E944E2"/>
    <w:rsid w:val="00E95062"/>
    <w:rsid w:val="00E951BA"/>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2E5"/>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6E12"/>
    <w:rsid w:val="00F2788E"/>
    <w:rsid w:val="00F309AB"/>
    <w:rsid w:val="00F30C1D"/>
    <w:rsid w:val="00F30D42"/>
    <w:rsid w:val="00F32717"/>
    <w:rsid w:val="00F327D0"/>
    <w:rsid w:val="00F332E6"/>
    <w:rsid w:val="00F37B58"/>
    <w:rsid w:val="00F44312"/>
    <w:rsid w:val="00F44569"/>
    <w:rsid w:val="00F44ACC"/>
    <w:rsid w:val="00F4502F"/>
    <w:rsid w:val="00F4689B"/>
    <w:rsid w:val="00F46A6C"/>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57A"/>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960E79"/>
  <w15:chartTrackingRefBased/>
  <w15:docId w15:val="{987ADB0F-BFCF-4C92-8F09-BA8AC7E3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 w:qFormat="1"/>
    <w:lsdException w:name="toc 2" w:semiHidden="1" w:uiPriority="3"/>
    <w:lsdException w:name="toc 3" w:semiHidden="1" w:uiPriority="3"/>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8"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semiHidden="1"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6501EB"/>
    <w:pPr>
      <w:spacing w:before="0" w:after="0"/>
    </w:pPr>
    <w:rPr>
      <w:rFonts w:cs="Calibri"/>
    </w:rPr>
  </w:style>
  <w:style w:type="paragraph" w:styleId="Heading1">
    <w:name w:val="heading 1"/>
    <w:aliases w:val="H1 Title"/>
    <w:next w:val="Normal"/>
    <w:link w:val="Heading1Char"/>
    <w:uiPriority w:val="4"/>
    <w:qFormat/>
    <w:rsid w:val="0080060E"/>
    <w:pPr>
      <w:keepNext/>
      <w:keepLines/>
      <w:spacing w:before="6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80060E"/>
    <w:pPr>
      <w:suppressAutoHyphens/>
      <w:spacing w:before="360" w:after="120" w:line="216" w:lineRule="auto"/>
      <w:outlineLvl w:val="1"/>
    </w:pPr>
    <w:rPr>
      <w:rFonts w:asciiTheme="minorHAnsi" w:eastAsiaTheme="majorEastAsia" w:hAnsiTheme="minorHAnsi" w:cstheme="majorBidi"/>
      <w:b/>
      <w:color w:val="003A69" w:themeColor="accent6" w:themeShade="BF"/>
      <w:spacing w:val="-10"/>
      <w:sz w:val="40"/>
      <w:szCs w:val="36"/>
    </w:rPr>
  </w:style>
  <w:style w:type="paragraph" w:styleId="Heading3">
    <w:name w:val="heading 3"/>
    <w:aliases w:val="H3 Heading"/>
    <w:next w:val="Normal"/>
    <w:link w:val="Heading3Char"/>
    <w:uiPriority w:val="4"/>
    <w:qFormat/>
    <w:rsid w:val="0080060E"/>
    <w:pPr>
      <w:keepNext/>
      <w:keepLines/>
      <w:spacing w:before="240" w:after="120" w:line="216" w:lineRule="auto"/>
      <w:outlineLvl w:val="2"/>
    </w:pPr>
    <w:rPr>
      <w:rFonts w:asciiTheme="minorHAnsi" w:eastAsiaTheme="majorEastAsia" w:hAnsiTheme="minorHAnsi" w:cstheme="majorBidi"/>
      <w:b/>
      <w:color w:val="003A69" w:themeColor="accent6" w:themeShade="BF"/>
      <w:sz w:val="32"/>
      <w:szCs w:val="48"/>
    </w:rPr>
  </w:style>
  <w:style w:type="paragraph" w:styleId="Heading4">
    <w:name w:val="heading 4"/>
    <w:aliases w:val="H4 Heading"/>
    <w:next w:val="Normal"/>
    <w:link w:val="Heading4Char"/>
    <w:uiPriority w:val="4"/>
    <w:qFormat/>
    <w:rsid w:val="0080060E"/>
    <w:pPr>
      <w:keepNext/>
      <w:keepLines/>
      <w:spacing w:before="280" w:after="0" w:line="216" w:lineRule="auto"/>
      <w:outlineLvl w:val="3"/>
    </w:pPr>
    <w:rPr>
      <w:rFonts w:eastAsiaTheme="majorEastAsia" w:cstheme="majorBidi"/>
      <w:b/>
      <w:color w:val="000000" w:themeColor="text1"/>
      <w:sz w:val="28"/>
      <w:szCs w:val="28"/>
    </w:rPr>
  </w:style>
  <w:style w:type="paragraph" w:styleId="Heading5">
    <w:name w:val="heading 5"/>
    <w:basedOn w:val="Normal"/>
    <w:next w:val="Normal"/>
    <w:link w:val="Heading5Char"/>
    <w:uiPriority w:val="1"/>
    <w:semiHidden/>
    <w:locked/>
    <w:rsid w:val="0080060E"/>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80060E"/>
    <w:pPr>
      <w:jc w:val="center"/>
      <w:outlineLvl w:val="5"/>
    </w:pPr>
  </w:style>
  <w:style w:type="paragraph" w:styleId="Heading7">
    <w:name w:val="heading 7"/>
    <w:aliases w:val="H7 BODY HEADING"/>
    <w:basedOn w:val="Normal"/>
    <w:next w:val="Normal"/>
    <w:link w:val="Heading7Char"/>
    <w:uiPriority w:val="9"/>
    <w:semiHidden/>
    <w:locked/>
    <w:rsid w:val="0080060E"/>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80060E"/>
    <w:pPr>
      <w:ind w:left="432"/>
      <w:outlineLvl w:val="7"/>
    </w:pPr>
    <w:rPr>
      <w:b/>
    </w:rPr>
  </w:style>
  <w:style w:type="paragraph" w:styleId="Heading9">
    <w:name w:val="heading 9"/>
    <w:basedOn w:val="Normal"/>
    <w:next w:val="Normal"/>
    <w:link w:val="Heading9Char"/>
    <w:uiPriority w:val="9"/>
    <w:semiHidden/>
    <w:locked/>
    <w:rsid w:val="0080060E"/>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80060E"/>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80060E"/>
  </w:style>
  <w:style w:type="character" w:customStyle="1" w:styleId="Heading2Char">
    <w:name w:val="Heading 2 Char"/>
    <w:aliases w:val="H2 Heading Char"/>
    <w:basedOn w:val="DefaultParagraphFont"/>
    <w:link w:val="Heading2"/>
    <w:uiPriority w:val="4"/>
    <w:rsid w:val="0080060E"/>
    <w:rPr>
      <w:rFonts w:asciiTheme="minorHAnsi" w:eastAsiaTheme="majorEastAsia" w:hAnsiTheme="minorHAnsi" w:cstheme="majorBidi"/>
      <w:b/>
      <w:color w:val="003A69" w:themeColor="accent6" w:themeShade="BF"/>
      <w:spacing w:val="-10"/>
      <w:sz w:val="40"/>
      <w:szCs w:val="36"/>
    </w:rPr>
  </w:style>
  <w:style w:type="table" w:styleId="TableGrid">
    <w:name w:val="Table Grid"/>
    <w:basedOn w:val="TableNormal"/>
    <w:uiPriority w:val="39"/>
    <w:rsid w:val="008006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80060E"/>
    <w:rPr>
      <w:sz w:val="24"/>
    </w:rPr>
  </w:style>
  <w:style w:type="paragraph" w:styleId="Header">
    <w:name w:val="header"/>
    <w:aliases w:val="H E A D E R"/>
    <w:basedOn w:val="Normal"/>
    <w:link w:val="HeaderChar"/>
    <w:uiPriority w:val="8"/>
    <w:qFormat/>
    <w:rsid w:val="0080060E"/>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80060E"/>
    <w:rPr>
      <w:caps/>
      <w:color w:val="000000" w:themeColor="text1"/>
      <w:spacing w:val="40"/>
      <w:sz w:val="20"/>
    </w:rPr>
  </w:style>
  <w:style w:type="paragraph" w:styleId="Footer">
    <w:name w:val="footer"/>
    <w:basedOn w:val="Normal"/>
    <w:link w:val="FooterChar"/>
    <w:uiPriority w:val="99"/>
    <w:semiHidden/>
    <w:rsid w:val="0080060E"/>
    <w:pPr>
      <w:tabs>
        <w:tab w:val="center" w:pos="4680"/>
        <w:tab w:val="right" w:pos="9360"/>
      </w:tabs>
    </w:pPr>
  </w:style>
  <w:style w:type="paragraph" w:customStyle="1" w:styleId="Sourceinfo9pt">
    <w:name w:val="Source info 9pt"/>
    <w:uiPriority w:val="7"/>
    <w:qFormat/>
    <w:rsid w:val="0080060E"/>
    <w:pPr>
      <w:spacing w:before="120" w:after="120"/>
      <w:jc w:val="center"/>
    </w:pPr>
    <w:rPr>
      <w:rFonts w:cs="Calibri"/>
      <w:color w:val="000000"/>
      <w:sz w:val="18"/>
    </w:rPr>
  </w:style>
  <w:style w:type="character" w:styleId="Hyperlink">
    <w:name w:val="Hyperlink"/>
    <w:basedOn w:val="DefaultParagraphFont"/>
    <w:uiPriority w:val="99"/>
    <w:unhideWhenUsed/>
    <w:qFormat/>
    <w:rsid w:val="0080060E"/>
    <w:rPr>
      <w:color w:val="000000" w:themeColor="text1"/>
      <w:u w:val="single"/>
    </w:rPr>
  </w:style>
  <w:style w:type="character" w:customStyle="1" w:styleId="Heading3Char">
    <w:name w:val="Heading 3 Char"/>
    <w:aliases w:val="H3 Heading Char"/>
    <w:basedOn w:val="DefaultParagraphFont"/>
    <w:link w:val="Heading3"/>
    <w:uiPriority w:val="4"/>
    <w:rsid w:val="0080060E"/>
    <w:rPr>
      <w:rFonts w:asciiTheme="minorHAnsi" w:eastAsiaTheme="majorEastAsia" w:hAnsiTheme="minorHAnsi" w:cstheme="majorBidi"/>
      <w:b/>
      <w:color w:val="003A69" w:themeColor="accent6" w:themeShade="BF"/>
      <w:sz w:val="32"/>
      <w:szCs w:val="48"/>
    </w:rPr>
  </w:style>
  <w:style w:type="character" w:customStyle="1" w:styleId="Heading4Char">
    <w:name w:val="Heading 4 Char"/>
    <w:aliases w:val="H4 Heading Char"/>
    <w:basedOn w:val="DefaultParagraphFont"/>
    <w:link w:val="Heading4"/>
    <w:uiPriority w:val="4"/>
    <w:rsid w:val="0080060E"/>
    <w:rPr>
      <w:rFonts w:eastAsiaTheme="majorEastAsia" w:cstheme="majorBidi"/>
      <w:b/>
      <w:color w:val="000000" w:themeColor="text1"/>
      <w:sz w:val="28"/>
      <w:szCs w:val="28"/>
    </w:rPr>
  </w:style>
  <w:style w:type="character" w:customStyle="1" w:styleId="Heading5Char">
    <w:name w:val="Heading 5 Char"/>
    <w:basedOn w:val="DefaultParagraphFont"/>
    <w:link w:val="Heading5"/>
    <w:uiPriority w:val="1"/>
    <w:semiHidden/>
    <w:rsid w:val="0080060E"/>
    <w:rPr>
      <w:rFonts w:ascii="Calibri Light" w:hAnsi="Calibri Light"/>
      <w:sz w:val="28"/>
    </w:rPr>
  </w:style>
  <w:style w:type="paragraph" w:styleId="Index1">
    <w:name w:val="index 1"/>
    <w:basedOn w:val="Normal"/>
    <w:next w:val="Normal"/>
    <w:uiPriority w:val="9"/>
    <w:semiHidden/>
    <w:locked/>
    <w:rsid w:val="0080060E"/>
    <w:pPr>
      <w:ind w:left="220" w:hanging="220"/>
    </w:pPr>
  </w:style>
  <w:style w:type="paragraph" w:styleId="NoSpacing">
    <w:name w:val="No Spacing"/>
    <w:aliases w:val="IMAGE"/>
    <w:next w:val="Normal"/>
    <w:qFormat/>
    <w:rsid w:val="0080060E"/>
    <w:pPr>
      <w:spacing w:before="120"/>
      <w:jc w:val="center"/>
    </w:pPr>
  </w:style>
  <w:style w:type="character" w:customStyle="1" w:styleId="Heading6Char">
    <w:name w:val="Heading 6 Char"/>
    <w:aliases w:val="H6 Heading centered Char"/>
    <w:basedOn w:val="DefaultParagraphFont"/>
    <w:link w:val="Heading6"/>
    <w:uiPriority w:val="9"/>
    <w:semiHidden/>
    <w:rsid w:val="0080060E"/>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80060E"/>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80060E"/>
    <w:rPr>
      <w:b/>
      <w:sz w:val="24"/>
    </w:rPr>
  </w:style>
  <w:style w:type="character" w:customStyle="1" w:styleId="Heading9Char">
    <w:name w:val="Heading 9 Char"/>
    <w:basedOn w:val="DefaultParagraphFont"/>
    <w:link w:val="Heading9"/>
    <w:uiPriority w:val="9"/>
    <w:semiHidden/>
    <w:rsid w:val="0080060E"/>
    <w:rPr>
      <w:rFonts w:eastAsiaTheme="majorEastAsia" w:cstheme="majorBidi"/>
      <w:i/>
      <w:iCs/>
      <w:color w:val="0070C0"/>
      <w:sz w:val="20"/>
    </w:rPr>
  </w:style>
  <w:style w:type="paragraph" w:styleId="Caption">
    <w:name w:val="caption"/>
    <w:next w:val="Normal"/>
    <w:uiPriority w:val="7"/>
    <w:qFormat/>
    <w:rsid w:val="0080060E"/>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80060E"/>
    <w:rPr>
      <w:color w:val="7F7F7F" w:themeColor="text1" w:themeTint="80"/>
      <w:u w:val="single"/>
    </w:rPr>
  </w:style>
  <w:style w:type="paragraph" w:styleId="Quote">
    <w:name w:val="Quote"/>
    <w:next w:val="Normal"/>
    <w:link w:val="QuoteChar"/>
    <w:uiPriority w:val="6"/>
    <w:qFormat/>
    <w:rsid w:val="0080060E"/>
    <w:pPr>
      <w:spacing w:before="240" w:after="240"/>
      <w:ind w:left="432" w:right="432"/>
    </w:pPr>
    <w:rPr>
      <w:rFonts w:asciiTheme="minorHAnsi" w:hAnsiTheme="minorHAnsi"/>
      <w:i/>
      <w:color w:val="000000" w:themeColor="text1"/>
    </w:rPr>
  </w:style>
  <w:style w:type="character" w:customStyle="1" w:styleId="QuoteChar">
    <w:name w:val="Quote Char"/>
    <w:basedOn w:val="DefaultParagraphFont"/>
    <w:link w:val="Quote"/>
    <w:uiPriority w:val="6"/>
    <w:rsid w:val="0080060E"/>
    <w:rPr>
      <w:rFonts w:asciiTheme="minorHAnsi" w:hAnsiTheme="minorHAnsi"/>
      <w:i/>
      <w:color w:val="000000" w:themeColor="text1"/>
      <w:sz w:val="24"/>
      <w:szCs w:val="24"/>
    </w:rPr>
  </w:style>
  <w:style w:type="paragraph" w:styleId="TOCHeading">
    <w:name w:val="TOC Heading"/>
    <w:basedOn w:val="Heading1"/>
    <w:next w:val="Normal"/>
    <w:uiPriority w:val="3"/>
    <w:semiHidden/>
    <w:qFormat/>
    <w:rsid w:val="0080060E"/>
    <w:pPr>
      <w:outlineLvl w:val="9"/>
    </w:pPr>
  </w:style>
  <w:style w:type="paragraph" w:styleId="ListNumber4">
    <w:name w:val="List Number 4"/>
    <w:basedOn w:val="Normal"/>
    <w:semiHidden/>
    <w:locked/>
    <w:rsid w:val="0080060E"/>
    <w:pPr>
      <w:numPr>
        <w:numId w:val="26"/>
      </w:numPr>
      <w:contextualSpacing/>
    </w:pPr>
  </w:style>
  <w:style w:type="paragraph" w:customStyle="1" w:styleId="NormalSmall">
    <w:name w:val="Normal Small"/>
    <w:uiPriority w:val="1"/>
    <w:qFormat/>
    <w:rsid w:val="0080060E"/>
    <w:pPr>
      <w:spacing w:before="120" w:after="120"/>
    </w:pPr>
    <w:rPr>
      <w:rFonts w:cs="Calibri"/>
      <w:color w:val="000000"/>
      <w:sz w:val="18"/>
    </w:rPr>
  </w:style>
  <w:style w:type="paragraph" w:customStyle="1" w:styleId="TitlePageTitle">
    <w:name w:val="Title Page Title"/>
    <w:basedOn w:val="Normal"/>
    <w:next w:val="Normal"/>
    <w:semiHidden/>
    <w:qFormat/>
    <w:rsid w:val="0080060E"/>
    <w:pPr>
      <w:spacing w:before="6000" w:line="260" w:lineRule="exact"/>
    </w:pPr>
    <w:rPr>
      <w:b/>
      <w:sz w:val="26"/>
    </w:rPr>
  </w:style>
  <w:style w:type="paragraph" w:styleId="TOC1">
    <w:name w:val="toc 1"/>
    <w:basedOn w:val="Normal"/>
    <w:next w:val="Normal"/>
    <w:uiPriority w:val="3"/>
    <w:semiHidden/>
    <w:qFormat/>
    <w:rsid w:val="0080060E"/>
  </w:style>
  <w:style w:type="character" w:customStyle="1" w:styleId="AddressBlockDateChar">
    <w:name w:val="Address Block/Date Char"/>
    <w:basedOn w:val="DefaultParagraphFont"/>
    <w:link w:val="AddressBlockDate"/>
    <w:uiPriority w:val="6"/>
    <w:locked/>
    <w:rsid w:val="0080060E"/>
    <w:rPr>
      <w:sz w:val="20"/>
      <w:szCs w:val="20"/>
    </w:rPr>
  </w:style>
  <w:style w:type="paragraph" w:customStyle="1" w:styleId="AddressBlockDate">
    <w:name w:val="Address Block/Date"/>
    <w:link w:val="AddressBlockDateChar"/>
    <w:uiPriority w:val="6"/>
    <w:qFormat/>
    <w:rsid w:val="0080060E"/>
    <w:pPr>
      <w:spacing w:before="600" w:after="120"/>
    </w:pPr>
    <w:rPr>
      <w:sz w:val="20"/>
      <w:szCs w:val="20"/>
    </w:rPr>
  </w:style>
  <w:style w:type="paragraph" w:styleId="BalloonText">
    <w:name w:val="Balloon Text"/>
    <w:basedOn w:val="Normal"/>
    <w:link w:val="BalloonTextChar"/>
    <w:semiHidden/>
    <w:unhideWhenUsed/>
    <w:locked/>
    <w:rsid w:val="0080060E"/>
    <w:rPr>
      <w:rFonts w:ascii="Segoe UI" w:hAnsi="Segoe UI" w:cs="Segoe UI"/>
      <w:sz w:val="18"/>
      <w:szCs w:val="18"/>
    </w:rPr>
  </w:style>
  <w:style w:type="character" w:customStyle="1" w:styleId="BalloonTextChar">
    <w:name w:val="Balloon Text Char"/>
    <w:basedOn w:val="DefaultParagraphFont"/>
    <w:link w:val="BalloonText"/>
    <w:semiHidden/>
    <w:rsid w:val="0080060E"/>
    <w:rPr>
      <w:rFonts w:ascii="Segoe UI" w:hAnsi="Segoe UI" w:cs="Segoe UI"/>
      <w:sz w:val="18"/>
      <w:szCs w:val="18"/>
    </w:rPr>
  </w:style>
  <w:style w:type="paragraph" w:styleId="ListBullet4">
    <w:name w:val="List Bullet 4"/>
    <w:basedOn w:val="Normal"/>
    <w:semiHidden/>
    <w:locked/>
    <w:rsid w:val="0080060E"/>
    <w:pPr>
      <w:numPr>
        <w:numId w:val="25"/>
      </w:numPr>
      <w:contextualSpacing/>
    </w:pPr>
  </w:style>
  <w:style w:type="paragraph" w:styleId="ListNumber">
    <w:name w:val="List Number"/>
    <w:basedOn w:val="ListBullet"/>
    <w:uiPriority w:val="2"/>
    <w:qFormat/>
    <w:rsid w:val="0080060E"/>
    <w:pPr>
      <w:numPr>
        <w:numId w:val="29"/>
      </w:numPr>
    </w:pPr>
  </w:style>
  <w:style w:type="paragraph" w:styleId="ListBullet">
    <w:name w:val="List Bullet"/>
    <w:basedOn w:val="Normal"/>
    <w:uiPriority w:val="2"/>
    <w:qFormat/>
    <w:rsid w:val="00C2407E"/>
    <w:pPr>
      <w:numPr>
        <w:numId w:val="31"/>
      </w:numPr>
      <w:contextualSpacing/>
    </w:pPr>
  </w:style>
  <w:style w:type="paragraph" w:styleId="ListParagraph">
    <w:name w:val="List Paragraph"/>
    <w:basedOn w:val="ListBullet"/>
    <w:uiPriority w:val="34"/>
    <w:qFormat/>
    <w:locked/>
    <w:rsid w:val="0080060E"/>
  </w:style>
  <w:style w:type="character" w:customStyle="1" w:styleId="FooterChar">
    <w:name w:val="Footer Char"/>
    <w:basedOn w:val="DefaultParagraphFont"/>
    <w:link w:val="Footer"/>
    <w:uiPriority w:val="99"/>
    <w:semiHidden/>
    <w:rsid w:val="0080060E"/>
    <w:rPr>
      <w:sz w:val="24"/>
    </w:rPr>
  </w:style>
  <w:style w:type="paragraph" w:styleId="TOC2">
    <w:name w:val="toc 2"/>
    <w:basedOn w:val="Normal"/>
    <w:next w:val="Normal"/>
    <w:uiPriority w:val="3"/>
    <w:semiHidden/>
    <w:rsid w:val="0080060E"/>
    <w:pPr>
      <w:spacing w:after="100"/>
      <w:ind w:left="240"/>
    </w:pPr>
  </w:style>
  <w:style w:type="paragraph" w:styleId="TOC3">
    <w:name w:val="toc 3"/>
    <w:basedOn w:val="Normal"/>
    <w:next w:val="Normal"/>
    <w:uiPriority w:val="3"/>
    <w:semiHidden/>
    <w:rsid w:val="0080060E"/>
    <w:pPr>
      <w:spacing w:after="100"/>
      <w:ind w:left="480"/>
    </w:pPr>
  </w:style>
  <w:style w:type="character" w:styleId="Strong">
    <w:name w:val="Strong"/>
    <w:basedOn w:val="DefaultParagraphFont"/>
    <w:uiPriority w:val="22"/>
    <w:semiHidden/>
    <w:qFormat/>
    <w:locked/>
    <w:rsid w:val="0080060E"/>
    <w:rPr>
      <w:b/>
      <w:bCs/>
    </w:rPr>
  </w:style>
  <w:style w:type="paragraph" w:customStyle="1" w:styleId="Toobtainthisinfo">
    <w:name w:val="&quot;To obtain this info&quot;"/>
    <w:uiPriority w:val="8"/>
    <w:qFormat/>
    <w:rsid w:val="0080060E"/>
    <w:pPr>
      <w:spacing w:before="120" w:after="120"/>
    </w:pPr>
    <w:rPr>
      <w:i/>
      <w:sz w:val="20"/>
      <w:szCs w:val="20"/>
    </w:rPr>
  </w:style>
  <w:style w:type="paragraph" w:styleId="TOC4">
    <w:name w:val="toc 4"/>
    <w:basedOn w:val="Normal"/>
    <w:next w:val="Normal"/>
    <w:semiHidden/>
    <w:locked/>
    <w:rsid w:val="0080060E"/>
    <w:pPr>
      <w:spacing w:after="100"/>
      <w:ind w:left="648"/>
    </w:pPr>
  </w:style>
  <w:style w:type="paragraph" w:styleId="TOC5">
    <w:name w:val="toc 5"/>
    <w:basedOn w:val="Normal"/>
    <w:next w:val="Normal"/>
    <w:semiHidden/>
    <w:locked/>
    <w:rsid w:val="0080060E"/>
    <w:pPr>
      <w:spacing w:after="100"/>
      <w:ind w:left="880"/>
    </w:pPr>
  </w:style>
  <w:style w:type="paragraph" w:styleId="TOC6">
    <w:name w:val="toc 6"/>
    <w:basedOn w:val="Normal"/>
    <w:next w:val="Normal"/>
    <w:semiHidden/>
    <w:locked/>
    <w:rsid w:val="0080060E"/>
    <w:pPr>
      <w:spacing w:after="100"/>
      <w:ind w:left="1100"/>
    </w:pPr>
  </w:style>
  <w:style w:type="paragraph" w:styleId="TOC7">
    <w:name w:val="toc 7"/>
    <w:basedOn w:val="Normal"/>
    <w:next w:val="Normal"/>
    <w:semiHidden/>
    <w:locked/>
    <w:rsid w:val="0080060E"/>
    <w:pPr>
      <w:spacing w:after="100"/>
      <w:ind w:left="1320"/>
    </w:pPr>
  </w:style>
  <w:style w:type="paragraph" w:styleId="TOC8">
    <w:name w:val="toc 8"/>
    <w:basedOn w:val="Normal"/>
    <w:next w:val="Normal"/>
    <w:semiHidden/>
    <w:locked/>
    <w:rsid w:val="0080060E"/>
    <w:pPr>
      <w:spacing w:after="100"/>
      <w:ind w:left="1540"/>
    </w:pPr>
  </w:style>
  <w:style w:type="paragraph" w:styleId="TOC9">
    <w:name w:val="toc 9"/>
    <w:basedOn w:val="Normal"/>
    <w:next w:val="Normal"/>
    <w:semiHidden/>
    <w:locked/>
    <w:rsid w:val="0080060E"/>
    <w:pPr>
      <w:spacing w:after="100"/>
      <w:ind w:left="1760"/>
    </w:pPr>
  </w:style>
  <w:style w:type="paragraph" w:styleId="List">
    <w:name w:val="List"/>
    <w:basedOn w:val="Normal"/>
    <w:semiHidden/>
    <w:unhideWhenUsed/>
    <w:qFormat/>
    <w:locked/>
    <w:rsid w:val="0080060E"/>
    <w:pPr>
      <w:ind w:left="216" w:hanging="216"/>
      <w:contextualSpacing/>
    </w:pPr>
  </w:style>
  <w:style w:type="paragraph" w:styleId="Index9">
    <w:name w:val="index 9"/>
    <w:basedOn w:val="Normal"/>
    <w:next w:val="Normal"/>
    <w:uiPriority w:val="9"/>
    <w:semiHidden/>
    <w:locked/>
    <w:rsid w:val="0080060E"/>
    <w:pPr>
      <w:ind w:left="1980" w:hanging="220"/>
    </w:pPr>
  </w:style>
  <w:style w:type="paragraph" w:styleId="Index8">
    <w:name w:val="index 8"/>
    <w:basedOn w:val="Normal"/>
    <w:next w:val="Normal"/>
    <w:uiPriority w:val="9"/>
    <w:semiHidden/>
    <w:locked/>
    <w:rsid w:val="0080060E"/>
    <w:pPr>
      <w:ind w:left="1760" w:hanging="220"/>
    </w:pPr>
  </w:style>
  <w:style w:type="paragraph" w:styleId="Index7">
    <w:name w:val="index 7"/>
    <w:basedOn w:val="Normal"/>
    <w:next w:val="Normal"/>
    <w:uiPriority w:val="9"/>
    <w:semiHidden/>
    <w:locked/>
    <w:rsid w:val="0080060E"/>
    <w:pPr>
      <w:ind w:left="1540" w:hanging="220"/>
    </w:pPr>
  </w:style>
  <w:style w:type="paragraph" w:styleId="Index6">
    <w:name w:val="index 6"/>
    <w:basedOn w:val="Normal"/>
    <w:next w:val="Normal"/>
    <w:uiPriority w:val="9"/>
    <w:semiHidden/>
    <w:locked/>
    <w:rsid w:val="0080060E"/>
    <w:pPr>
      <w:ind w:left="1320" w:hanging="220"/>
    </w:pPr>
  </w:style>
  <w:style w:type="paragraph" w:styleId="Index5">
    <w:name w:val="index 5"/>
    <w:basedOn w:val="Normal"/>
    <w:next w:val="Normal"/>
    <w:uiPriority w:val="9"/>
    <w:semiHidden/>
    <w:locked/>
    <w:rsid w:val="0080060E"/>
    <w:pPr>
      <w:ind w:left="1100" w:hanging="220"/>
    </w:pPr>
  </w:style>
  <w:style w:type="paragraph" w:styleId="Index4">
    <w:name w:val="index 4"/>
    <w:basedOn w:val="Normal"/>
    <w:next w:val="Normal"/>
    <w:uiPriority w:val="9"/>
    <w:semiHidden/>
    <w:locked/>
    <w:rsid w:val="0080060E"/>
    <w:pPr>
      <w:ind w:left="880" w:hanging="220"/>
    </w:pPr>
  </w:style>
  <w:style w:type="paragraph" w:styleId="Index3">
    <w:name w:val="index 3"/>
    <w:basedOn w:val="Normal"/>
    <w:next w:val="Normal"/>
    <w:uiPriority w:val="9"/>
    <w:semiHidden/>
    <w:locked/>
    <w:rsid w:val="0080060E"/>
    <w:pPr>
      <w:ind w:left="660" w:hanging="220"/>
    </w:pPr>
  </w:style>
  <w:style w:type="paragraph" w:styleId="Index2">
    <w:name w:val="index 2"/>
    <w:basedOn w:val="Normal"/>
    <w:next w:val="Normal"/>
    <w:uiPriority w:val="9"/>
    <w:semiHidden/>
    <w:locked/>
    <w:rsid w:val="0080060E"/>
    <w:pPr>
      <w:ind w:left="440" w:hanging="220"/>
    </w:pPr>
  </w:style>
  <w:style w:type="paragraph" w:customStyle="1" w:styleId="LOGO">
    <w:name w:val="LOGO"/>
    <w:basedOn w:val="NoSpacing"/>
    <w:uiPriority w:val="1"/>
    <w:qFormat/>
    <w:rsid w:val="0080060E"/>
    <w:pPr>
      <w:spacing w:after="360"/>
      <w:jc w:val="left"/>
    </w:pPr>
    <w:rPr>
      <w:noProof/>
    </w:rPr>
  </w:style>
  <w:style w:type="table" w:styleId="GridTable4-Accent2">
    <w:name w:val="Grid Table 4 Accent 2"/>
    <w:basedOn w:val="TableNormal"/>
    <w:uiPriority w:val="49"/>
    <w:rsid w:val="0080060E"/>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80060E"/>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Subtitle">
    <w:name w:val="Subtitle"/>
    <w:aliases w:val="S U B T I T L E"/>
    <w:basedOn w:val="Normal"/>
    <w:next w:val="Normal"/>
    <w:link w:val="SubtitleChar"/>
    <w:uiPriority w:val="5"/>
    <w:qFormat/>
    <w:rsid w:val="0080060E"/>
    <w:pPr>
      <w:numPr>
        <w:ilvl w:val="1"/>
      </w:numPr>
      <w:spacing w:after="160"/>
    </w:pPr>
    <w:rPr>
      <w:rFonts w:asciiTheme="minorHAnsi" w:hAnsiTheme="minorHAnsi"/>
      <w:b/>
      <w:caps/>
      <w:color w:val="002746" w:themeColor="accent6" w:themeShade="80"/>
      <w:spacing w:val="40"/>
      <w:sz w:val="28"/>
    </w:rPr>
  </w:style>
  <w:style w:type="paragraph" w:styleId="EndnoteText">
    <w:name w:val="endnote text"/>
    <w:basedOn w:val="Normal"/>
    <w:link w:val="EndnoteTextChar"/>
    <w:uiPriority w:val="8"/>
    <w:semiHidden/>
    <w:rsid w:val="0080060E"/>
    <w:pPr>
      <w:spacing w:before="60" w:after="60"/>
    </w:pPr>
    <w:rPr>
      <w:sz w:val="20"/>
      <w:szCs w:val="20"/>
    </w:rPr>
  </w:style>
  <w:style w:type="character" w:customStyle="1" w:styleId="EndnoteTextChar">
    <w:name w:val="Endnote Text Char"/>
    <w:basedOn w:val="DefaultParagraphFont"/>
    <w:link w:val="EndnoteText"/>
    <w:uiPriority w:val="8"/>
    <w:semiHidden/>
    <w:rsid w:val="0080060E"/>
    <w:rPr>
      <w:sz w:val="20"/>
      <w:szCs w:val="20"/>
    </w:rPr>
  </w:style>
  <w:style w:type="paragraph" w:customStyle="1" w:styleId="ImageTableChartTitle">
    <w:name w:val="Image Table Chart Title"/>
    <w:basedOn w:val="Normal"/>
    <w:uiPriority w:val="4"/>
    <w:qFormat/>
    <w:rsid w:val="0080060E"/>
    <w:pPr>
      <w:spacing w:before="280"/>
      <w:jc w:val="center"/>
    </w:pPr>
    <w:rPr>
      <w:b/>
      <w:bCs/>
      <w:color w:val="003A69" w:themeColor="accent6" w:themeShade="BF"/>
      <w:sz w:val="28"/>
    </w:rPr>
  </w:style>
  <w:style w:type="character" w:customStyle="1" w:styleId="MakeLight">
    <w:name w:val="Make Light"/>
    <w:basedOn w:val="DefaultParagraphFont"/>
    <w:uiPriority w:val="99"/>
    <w:qFormat/>
    <w:rsid w:val="0080060E"/>
    <w:rPr>
      <w:rFonts w:ascii="Calibri Light" w:hAnsi="Calibri Light"/>
    </w:rPr>
  </w:style>
  <w:style w:type="character" w:customStyle="1" w:styleId="SubtitleChar">
    <w:name w:val="Subtitle Char"/>
    <w:aliases w:val="S U B T I T L E Char"/>
    <w:basedOn w:val="DefaultParagraphFont"/>
    <w:link w:val="Subtitle"/>
    <w:uiPriority w:val="5"/>
    <w:rsid w:val="0080060E"/>
    <w:rPr>
      <w:rFonts w:asciiTheme="minorHAnsi" w:hAnsiTheme="minorHAnsi"/>
      <w:b/>
      <w:caps/>
      <w:color w:val="002746" w:themeColor="accent6" w:themeShade="80"/>
      <w:spacing w:val="40"/>
      <w:sz w:val="28"/>
    </w:rPr>
  </w:style>
  <w:style w:type="numbering" w:customStyle="1" w:styleId="Listbullets">
    <w:name w:val="List_bullets"/>
    <w:uiPriority w:val="99"/>
    <w:rsid w:val="00C2407E"/>
    <w:pPr>
      <w:numPr>
        <w:numId w:val="3"/>
      </w:numPr>
    </w:pPr>
  </w:style>
  <w:style w:type="numbering" w:customStyle="1" w:styleId="ListStyle123">
    <w:name w:val="List Style 123"/>
    <w:uiPriority w:val="99"/>
    <w:rsid w:val="0080060E"/>
    <w:pPr>
      <w:numPr>
        <w:numId w:val="5"/>
      </w:numPr>
    </w:pPr>
  </w:style>
  <w:style w:type="paragraph" w:customStyle="1" w:styleId="TableText-calibri10">
    <w:name w:val="TableText-calibri10"/>
    <w:uiPriority w:val="7"/>
    <w:qFormat/>
    <w:rsid w:val="0080060E"/>
    <w:pPr>
      <w:spacing w:before="40" w:after="40" w:line="200" w:lineRule="exact"/>
    </w:pPr>
    <w:rPr>
      <w:sz w:val="20"/>
    </w:rPr>
  </w:style>
  <w:style w:type="paragraph" w:customStyle="1" w:styleId="LtBlueNormalBackground">
    <w:name w:val="Lt Blue Normal Background"/>
    <w:basedOn w:val="Normal"/>
    <w:uiPriority w:val="1"/>
    <w:qFormat/>
    <w:rsid w:val="0080060E"/>
    <w:pPr>
      <w:pBdr>
        <w:top w:val="single" w:sz="4" w:space="5" w:color="E9F5FF"/>
        <w:left w:val="single" w:sz="4" w:space="5" w:color="E9F5FF"/>
        <w:bottom w:val="single" w:sz="4" w:space="8" w:color="E9F5FF"/>
        <w:right w:val="single" w:sz="4" w:space="5" w:color="E9F5FF"/>
      </w:pBdr>
      <w:shd w:val="clear" w:color="auto" w:fill="E9F5FF" w:themeFill="accent1" w:themeFillTint="1A"/>
      <w:ind w:left="100" w:right="100"/>
    </w:pPr>
  </w:style>
  <w:style w:type="character" w:styleId="UnresolvedMention">
    <w:name w:val="Unresolved Mention"/>
    <w:basedOn w:val="DefaultParagraphFont"/>
    <w:uiPriority w:val="99"/>
    <w:semiHidden/>
    <w:unhideWhenUsed/>
    <w:rsid w:val="00360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88413900">
      <w:bodyDiv w:val="1"/>
      <w:marLeft w:val="0"/>
      <w:marRight w:val="0"/>
      <w:marTop w:val="0"/>
      <w:marBottom w:val="0"/>
      <w:divBdr>
        <w:top w:val="none" w:sz="0" w:space="0" w:color="auto"/>
        <w:left w:val="none" w:sz="0" w:space="0" w:color="auto"/>
        <w:bottom w:val="none" w:sz="0" w:space="0" w:color="auto"/>
        <w:right w:val="none" w:sz="0" w:space="0" w:color="auto"/>
      </w:divBdr>
    </w:div>
    <w:div w:id="1062942274">
      <w:bodyDiv w:val="1"/>
      <w:marLeft w:val="0"/>
      <w:marRight w:val="0"/>
      <w:marTop w:val="0"/>
      <w:marBottom w:val="0"/>
      <w:divBdr>
        <w:top w:val="none" w:sz="0" w:space="0" w:color="auto"/>
        <w:left w:val="none" w:sz="0" w:space="0" w:color="auto"/>
        <w:bottom w:val="none" w:sz="0" w:space="0" w:color="auto"/>
        <w:right w:val="none" w:sz="0" w:space="0" w:color="auto"/>
      </w:divBdr>
    </w:div>
    <w:div w:id="114597660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91C6165B-5354-43E0-83BA-C35CEA06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Health Advisory: Gonococcal Treatment Change</vt:lpstr>
    </vt:vector>
  </TitlesOfParts>
  <Company>Minnesota Department of Health</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Gonococcal Treatment Change</dc:title>
  <dc:subject/>
  <dc:creator>Hadsall, Candy (MDH)</dc:creator>
  <cp:keywords/>
  <dc:description/>
  <cp:lastModifiedBy>McAdams, Toby (MDH)</cp:lastModifiedBy>
  <cp:revision>4</cp:revision>
  <cp:lastPrinted>2016-12-14T18:03:00Z</cp:lastPrinted>
  <dcterms:created xsi:type="dcterms:W3CDTF">2021-01-22T22:32:00Z</dcterms:created>
  <dcterms:modified xsi:type="dcterms:W3CDTF">2021-01-26T15:01:00Z</dcterms:modified>
</cp:coreProperties>
</file>