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785B685A" wp14:editId="65BF33BD">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835874" w:rsidRPr="00835874">
        <w:t>Health Advisory: Measles Outbreak Expanded Recommendations</w:t>
      </w:r>
    </w:p>
    <w:p w:rsidR="008E1DDD" w:rsidRPr="00770094" w:rsidRDefault="008E1DDD" w:rsidP="008E1DDD">
      <w:pPr>
        <w:spacing w:after="120"/>
      </w:pPr>
      <w:r w:rsidRPr="00770094">
        <w:rPr>
          <w:rFonts w:cs="Arial"/>
        </w:rPr>
        <w:t xml:space="preserve">Minnesota Department of Health </w:t>
      </w:r>
      <w:r w:rsidR="00835874">
        <w:rPr>
          <w:rFonts w:cs="Arial"/>
        </w:rPr>
        <w:t>Thursday</w:t>
      </w:r>
      <w:r w:rsidR="00C15444">
        <w:rPr>
          <w:rFonts w:cs="Arial"/>
        </w:rPr>
        <w:t xml:space="preserve">, </w:t>
      </w:r>
      <w:r w:rsidR="00835874">
        <w:rPr>
          <w:rFonts w:cs="Arial"/>
        </w:rPr>
        <w:t>May 4</w:t>
      </w:r>
      <w:r w:rsidR="00C15444">
        <w:rPr>
          <w:rFonts w:cs="Arial"/>
        </w:rPr>
        <w:t xml:space="preserve">, 2017, </w:t>
      </w:r>
      <w:r w:rsidR="00835874">
        <w:rPr>
          <w:rFonts w:cs="Arial"/>
        </w:rPr>
        <w:t>13:00 CDT</w:t>
      </w:r>
    </w:p>
    <w:p w:rsidR="00835874" w:rsidRDefault="00835874" w:rsidP="00835874">
      <w:pPr>
        <w:pStyle w:val="Default"/>
        <w:rPr>
          <w:rFonts w:ascii="Calibri" w:hAnsi="Calibri" w:cs="Calibri"/>
          <w:sz w:val="22"/>
          <w:szCs w:val="22"/>
        </w:rPr>
      </w:pPr>
      <w:r>
        <w:rPr>
          <w:rFonts w:ascii="Calibri" w:hAnsi="Calibri" w:cs="Calibri"/>
          <w:b/>
          <w:bCs/>
          <w:sz w:val="22"/>
          <w:szCs w:val="22"/>
        </w:rPr>
        <w:t xml:space="preserve">Action Steps: </w:t>
      </w:r>
      <w:r>
        <w:rPr>
          <w:rFonts w:ascii="Calibri" w:hAnsi="Calibri" w:cs="Calibri"/>
          <w:b/>
          <w:bCs/>
          <w:i/>
          <w:iCs/>
          <w:sz w:val="22"/>
          <w:szCs w:val="22"/>
        </w:rPr>
        <w:t xml:space="preserve">Local and tribal health departments: </w:t>
      </w:r>
      <w:r>
        <w:rPr>
          <w:rFonts w:ascii="Calibri" w:hAnsi="Calibri" w:cs="Calibri"/>
          <w:sz w:val="22"/>
          <w:szCs w:val="22"/>
        </w:rPr>
        <w:t xml:space="preserve">Please forward to hospitals, urgent care centers, clinics, </w:t>
      </w:r>
      <w:r w:rsidR="002E388B">
        <w:rPr>
          <w:rFonts w:ascii="Calibri" w:hAnsi="Calibri" w:cs="Calibri"/>
          <w:sz w:val="22"/>
          <w:szCs w:val="22"/>
        </w:rPr>
        <w:t xml:space="preserve">school nurses, </w:t>
      </w:r>
      <w:bookmarkStart w:id="0" w:name="_GoBack"/>
      <w:bookmarkEnd w:id="0"/>
      <w:r>
        <w:rPr>
          <w:rFonts w:ascii="Calibri" w:hAnsi="Calibri" w:cs="Calibri"/>
          <w:sz w:val="22"/>
          <w:szCs w:val="22"/>
        </w:rPr>
        <w:t xml:space="preserve">EMS, and convenience clinics in your jurisdiction. </w:t>
      </w:r>
    </w:p>
    <w:p w:rsidR="00835874" w:rsidRDefault="00835874" w:rsidP="00835874">
      <w:pPr>
        <w:pStyle w:val="Default"/>
        <w:rPr>
          <w:rFonts w:ascii="Calibri" w:hAnsi="Calibri" w:cs="Calibri"/>
          <w:b/>
          <w:bCs/>
          <w:i/>
          <w:iCs/>
          <w:sz w:val="22"/>
          <w:szCs w:val="22"/>
        </w:rPr>
      </w:pPr>
      <w:r>
        <w:rPr>
          <w:rFonts w:ascii="Calibri" w:hAnsi="Calibri" w:cs="Calibri"/>
          <w:b/>
          <w:bCs/>
          <w:i/>
          <w:iCs/>
          <w:sz w:val="22"/>
          <w:szCs w:val="22"/>
        </w:rPr>
        <w:t xml:space="preserve">Hospital and clinics: </w:t>
      </w:r>
      <w:r>
        <w:rPr>
          <w:rFonts w:ascii="Calibri" w:hAnsi="Calibri" w:cs="Calibri"/>
          <w:sz w:val="22"/>
          <w:szCs w:val="22"/>
        </w:rPr>
        <w:t xml:space="preserve">Please distribute to health care providers who treat patients presenting with new illness. </w:t>
      </w:r>
    </w:p>
    <w:p w:rsidR="00835874" w:rsidRDefault="00835874" w:rsidP="00835874">
      <w:pPr>
        <w:pStyle w:val="Default"/>
        <w:rPr>
          <w:rFonts w:ascii="Calibri" w:hAnsi="Calibri" w:cs="Calibri"/>
          <w:sz w:val="22"/>
          <w:szCs w:val="22"/>
        </w:rPr>
      </w:pPr>
    </w:p>
    <w:p w:rsidR="00835874" w:rsidRPr="005A2DAE" w:rsidRDefault="00835874" w:rsidP="00835874">
      <w:pPr>
        <w:pStyle w:val="Default"/>
        <w:rPr>
          <w:rFonts w:ascii="Calibri" w:hAnsi="Calibri" w:cs="Calibri"/>
          <w:sz w:val="22"/>
          <w:szCs w:val="22"/>
        </w:rPr>
      </w:pPr>
      <w:r>
        <w:rPr>
          <w:rFonts w:ascii="Calibri" w:hAnsi="Calibri" w:cs="Calibri"/>
          <w:b/>
          <w:bCs/>
          <w:i/>
          <w:iCs/>
          <w:sz w:val="22"/>
          <w:szCs w:val="22"/>
        </w:rPr>
        <w:t xml:space="preserve">Health care providers: </w:t>
      </w:r>
    </w:p>
    <w:p w:rsidR="00835874" w:rsidRDefault="00835874" w:rsidP="00835874">
      <w:pPr>
        <w:pStyle w:val="Default"/>
        <w:numPr>
          <w:ilvl w:val="0"/>
          <w:numId w:val="31"/>
        </w:numPr>
        <w:rPr>
          <w:rFonts w:ascii="Calibri" w:hAnsi="Calibri" w:cs="Calibri"/>
          <w:sz w:val="22"/>
          <w:szCs w:val="22"/>
        </w:rPr>
      </w:pPr>
      <w:r>
        <w:rPr>
          <w:rFonts w:ascii="Calibri" w:hAnsi="Calibri" w:cs="Calibri"/>
          <w:sz w:val="22"/>
          <w:szCs w:val="22"/>
        </w:rPr>
        <w:t xml:space="preserve">Implement expanded MMR immunization recommendations during Minnesota’s measles outbreak. </w:t>
      </w:r>
    </w:p>
    <w:p w:rsidR="00835874" w:rsidRDefault="00835874" w:rsidP="00835874">
      <w:pPr>
        <w:pStyle w:val="Default"/>
        <w:numPr>
          <w:ilvl w:val="0"/>
          <w:numId w:val="31"/>
        </w:numPr>
        <w:rPr>
          <w:rFonts w:ascii="Calibri" w:hAnsi="Calibri" w:cs="Calibri"/>
          <w:sz w:val="22"/>
          <w:szCs w:val="22"/>
        </w:rPr>
      </w:pPr>
      <w:r>
        <w:rPr>
          <w:rFonts w:ascii="Calibri" w:hAnsi="Calibri" w:cs="Calibri"/>
          <w:sz w:val="22"/>
          <w:szCs w:val="22"/>
        </w:rPr>
        <w:t>Check MIIC (Minnesota’s immunization registry) records before vaccinating.</w:t>
      </w:r>
    </w:p>
    <w:p w:rsidR="00835874" w:rsidRPr="00A73F98" w:rsidRDefault="00835874" w:rsidP="00835874">
      <w:pPr>
        <w:pStyle w:val="Default"/>
        <w:numPr>
          <w:ilvl w:val="0"/>
          <w:numId w:val="31"/>
        </w:numPr>
        <w:rPr>
          <w:rFonts w:ascii="Calibri" w:hAnsi="Calibri" w:cs="Calibri"/>
          <w:sz w:val="22"/>
          <w:szCs w:val="22"/>
        </w:rPr>
      </w:pPr>
      <w:r w:rsidRPr="00A73F98">
        <w:rPr>
          <w:rFonts w:ascii="Calibri" w:hAnsi="Calibri" w:cs="Calibri"/>
          <w:sz w:val="22"/>
          <w:szCs w:val="22"/>
        </w:rPr>
        <w:t>Report suspected cases and contact MDH</w:t>
      </w:r>
      <w:r>
        <w:rPr>
          <w:rFonts w:ascii="Calibri" w:hAnsi="Calibri" w:cs="Calibri"/>
          <w:sz w:val="22"/>
          <w:szCs w:val="22"/>
        </w:rPr>
        <w:t xml:space="preserve"> with questions</w:t>
      </w:r>
      <w:r w:rsidRPr="00A73F98">
        <w:rPr>
          <w:rFonts w:ascii="Calibri" w:hAnsi="Calibri" w:cs="Calibri"/>
          <w:sz w:val="22"/>
          <w:szCs w:val="22"/>
        </w:rPr>
        <w:t xml:space="preserve"> at 1-877-676-5414 (toll-free) or 651-201-5414. </w:t>
      </w:r>
    </w:p>
    <w:p w:rsidR="00835874" w:rsidRDefault="00835874" w:rsidP="00835874">
      <w:pPr>
        <w:pStyle w:val="Default"/>
        <w:rPr>
          <w:rFonts w:ascii="Calibri" w:hAnsi="Calibri" w:cs="Calibri"/>
          <w:b/>
          <w:bCs/>
          <w:sz w:val="22"/>
          <w:szCs w:val="22"/>
        </w:rPr>
      </w:pPr>
    </w:p>
    <w:p w:rsidR="00835874" w:rsidRPr="00AD5C3D" w:rsidRDefault="00835874" w:rsidP="00835874">
      <w:pPr>
        <w:rPr>
          <w:b/>
          <w:bCs/>
        </w:rPr>
      </w:pPr>
      <w:r>
        <w:rPr>
          <w:b/>
          <w:bCs/>
        </w:rPr>
        <w:t xml:space="preserve">Changes to the MMR vaccination recommendation. </w:t>
      </w:r>
      <w:r>
        <w:rPr>
          <w:bCs/>
        </w:rPr>
        <w:t xml:space="preserve">Changes to the vaccine recommendations have been made due to the geographical spread of the outbreak. The primary changes include the following: </w:t>
      </w:r>
    </w:p>
    <w:p w:rsidR="00835874" w:rsidRPr="00BC2237" w:rsidRDefault="00835874" w:rsidP="00835874">
      <w:pPr>
        <w:pStyle w:val="ListParagraph"/>
        <w:numPr>
          <w:ilvl w:val="0"/>
          <w:numId w:val="32"/>
        </w:numPr>
        <w:rPr>
          <w:bCs/>
        </w:rPr>
      </w:pPr>
      <w:r w:rsidRPr="00BC2237">
        <w:rPr>
          <w:bCs/>
        </w:rPr>
        <w:t>The accelerated two-dose MMR series recommendation has been expanded to include children</w:t>
      </w:r>
      <w:r>
        <w:rPr>
          <w:bCs/>
        </w:rPr>
        <w:t xml:space="preserve"> and adolescents</w:t>
      </w:r>
      <w:r w:rsidRPr="00BC2237">
        <w:rPr>
          <w:bCs/>
        </w:rPr>
        <w:t xml:space="preserve"> residing in counties in which a measles case has been reported in the previous 42 days. </w:t>
      </w:r>
    </w:p>
    <w:p w:rsidR="00835874" w:rsidRDefault="00835874" w:rsidP="00835874">
      <w:pPr>
        <w:pStyle w:val="ListParagraph"/>
        <w:numPr>
          <w:ilvl w:val="0"/>
          <w:numId w:val="32"/>
        </w:numPr>
      </w:pPr>
      <w:r>
        <w:t xml:space="preserve">Acceleration of the two-dose MMR series </w:t>
      </w:r>
      <w:r w:rsidRPr="00771196">
        <w:rPr>
          <w:b/>
        </w:rPr>
        <w:t>may</w:t>
      </w:r>
      <w:r>
        <w:t xml:space="preserve"> be considered for children and adolescents regardless of county of residence. </w:t>
      </w:r>
    </w:p>
    <w:p w:rsidR="00835874" w:rsidRDefault="00835874" w:rsidP="00835874">
      <w:pPr>
        <w:pStyle w:val="ListParagraph"/>
        <w:numPr>
          <w:ilvl w:val="0"/>
          <w:numId w:val="32"/>
        </w:numPr>
      </w:pPr>
      <w:r w:rsidRPr="000116B2">
        <w:rPr>
          <w:rFonts w:eastAsia="Times New Roman"/>
          <w:lang w:val="en"/>
        </w:rPr>
        <w:t>Be sure to assess measles immune status for every patient at every visit, regardless of age.</w:t>
      </w:r>
    </w:p>
    <w:p w:rsidR="00835874" w:rsidRDefault="00835874" w:rsidP="00835874">
      <w:r>
        <w:br/>
        <w:t xml:space="preserve">A link to the full updated recommendations can be found at: </w:t>
      </w:r>
      <w:hyperlink r:id="rId9" w:history="1">
        <w:r w:rsidRPr="00C745FF">
          <w:rPr>
            <w:rStyle w:val="Hyperlink"/>
          </w:rPr>
          <w:t>http://www.health.state.mn.us/divs/idepc/diseases/measles/hcp/outbrkvax.html</w:t>
        </w:r>
      </w:hyperlink>
      <w:r>
        <w:t xml:space="preserve">. Please note: adult MMR recommendations remain unchanged. All adults born in 1957 or later should have documentation of at least one MMR. </w:t>
      </w:r>
    </w:p>
    <w:p w:rsidR="00835874" w:rsidRPr="00835874" w:rsidRDefault="00835874" w:rsidP="00835874">
      <w:pPr>
        <w:rPr>
          <w:rFonts w:cs="Calibri"/>
          <w:b/>
          <w:bCs/>
        </w:rPr>
      </w:pPr>
      <w:r>
        <w:rPr>
          <w:rFonts w:cs="Calibri"/>
          <w:b/>
          <w:bCs/>
        </w:rPr>
        <w:t xml:space="preserve">Outbreak update. </w:t>
      </w:r>
      <w:r>
        <w:t xml:space="preserve">Since April 11, 2017, 41 cases of measles have been identified in Minnesota.  Cases are located in Hennepin, Ramsey and Crow Wing counties. Cases in Crow Wing and Ramsey Counties had likely exposure in Hennepin County. Overall, the majority of cases have been linked to known cases. Case counts and demographics of the outbreak are routinely updated on MDH’s website at: </w:t>
      </w:r>
      <w:hyperlink r:id="rId10" w:anchor="Example1" w:history="1">
        <w:r w:rsidRPr="00DF0D0C">
          <w:rPr>
            <w:rStyle w:val="Hyperlink"/>
          </w:rPr>
          <w:t>http://www.health.state.mn.us/divs/idepc/diseases/measles/#Example1</w:t>
        </w:r>
      </w:hyperlink>
      <w:r>
        <w:t xml:space="preserve"> </w:t>
      </w:r>
    </w:p>
    <w:p w:rsidR="00835874" w:rsidRDefault="00835874" w:rsidP="00835874">
      <w:pPr>
        <w:rPr>
          <w:b/>
          <w:bCs/>
        </w:rPr>
      </w:pPr>
      <w:r>
        <w:rPr>
          <w:b/>
          <w:bCs/>
        </w:rPr>
        <w:t xml:space="preserve">Check vaccination history. </w:t>
      </w:r>
      <w:r>
        <w:rPr>
          <w:bCs/>
        </w:rPr>
        <w:t xml:space="preserve">Administer </w:t>
      </w:r>
      <w:r>
        <w:rPr>
          <w:rFonts w:eastAsia="Times New Roman"/>
          <w:lang w:val="en"/>
        </w:rPr>
        <w:t xml:space="preserve">MMR and varicella vaccines on the same day (either separately or as MMRV) or at least 28 days apart. Before giving a MMR vaccine, check MIIC records and ask parents whether any vaccines have been administered in the previous 4 weeks to ensure no MMR doses are administered </w:t>
      </w:r>
      <w:r>
        <w:rPr>
          <w:rFonts w:eastAsia="Times New Roman" w:cs="Calibri"/>
          <w:lang w:val="en"/>
        </w:rPr>
        <w:t xml:space="preserve">less than </w:t>
      </w:r>
      <w:r>
        <w:rPr>
          <w:rFonts w:eastAsia="Times New Roman"/>
          <w:lang w:val="en"/>
        </w:rPr>
        <w:t>28 days from previous MMR, varicella or MMRV. If a parent-reported vaccination is not found in MIIC, verify administration by requesting documentation from the parent or administering clinic. Provide patients with written documentation of vaccines administered.</w:t>
      </w:r>
    </w:p>
    <w:p w:rsidR="00835874" w:rsidRPr="00835874" w:rsidRDefault="00835874" w:rsidP="00835874">
      <w:r>
        <w:rPr>
          <w:b/>
          <w:bCs/>
        </w:rPr>
        <w:t xml:space="preserve">Recalling patients. </w:t>
      </w:r>
      <w:r w:rsidR="008515E0" w:rsidRPr="008515E0">
        <w:t>MIIC can help identify children who have not received a dose of MMR.</w:t>
      </w:r>
      <w:r>
        <w:t xml:space="preserve"> Please contact your </w:t>
      </w:r>
      <w:hyperlink r:id="rId11" w:history="1">
        <w:r>
          <w:rPr>
            <w:rStyle w:val="Hyperlink"/>
          </w:rPr>
          <w:t>MIIC Regional Coordinator (www.health.state.mn.us/divs/idepc/immunize/registry/map.html)</w:t>
        </w:r>
      </w:hyperlink>
      <w:r>
        <w:t xml:space="preserve"> or email the MIIC Help Desk at </w:t>
      </w:r>
      <w:hyperlink r:id="rId12" w:history="1">
        <w:r>
          <w:rPr>
            <w:rStyle w:val="Hyperlink"/>
          </w:rPr>
          <w:t>health.miichelp@state.mn.us</w:t>
        </w:r>
      </w:hyperlink>
      <w:r>
        <w:t xml:space="preserve"> for assistance.</w:t>
      </w:r>
    </w:p>
    <w:p w:rsidR="00835874" w:rsidRDefault="00835874" w:rsidP="00835874">
      <w:pPr>
        <w:autoSpaceDE w:val="0"/>
        <w:autoSpaceDN w:val="0"/>
        <w:adjustRightInd w:val="0"/>
        <w:rPr>
          <w:rFonts w:cs="Calibri"/>
          <w:color w:val="000000"/>
        </w:rPr>
      </w:pPr>
      <w:r w:rsidRPr="00EA4710">
        <w:rPr>
          <w:rFonts w:cs="Calibri"/>
          <w:color w:val="000000"/>
        </w:rPr>
        <w:t xml:space="preserve">Find additional information </w:t>
      </w:r>
      <w:r>
        <w:rPr>
          <w:rFonts w:cs="Calibri"/>
          <w:color w:val="000000"/>
        </w:rPr>
        <w:t>at</w:t>
      </w:r>
      <w:r w:rsidRPr="00EA4710">
        <w:rPr>
          <w:rFonts w:cs="Calibri"/>
          <w:color w:val="000000"/>
        </w:rPr>
        <w:t xml:space="preserve"> </w:t>
      </w:r>
      <w:hyperlink r:id="rId13" w:history="1">
        <w:r w:rsidRPr="00C16BE4">
          <w:rPr>
            <w:rStyle w:val="Hyperlink"/>
            <w:rFonts w:cs="Calibri"/>
          </w:rPr>
          <w:t>Measles Information for Health Professionals</w:t>
        </w:r>
      </w:hyperlink>
      <w:r w:rsidRPr="00EA4710">
        <w:rPr>
          <w:rFonts w:cs="Calibri"/>
          <w:color w:val="000000"/>
        </w:rPr>
        <w:t xml:space="preserve"> (</w:t>
      </w:r>
      <w:hyperlink r:id="rId14" w:history="1">
        <w:r w:rsidRPr="00C16BE4">
          <w:rPr>
            <w:rStyle w:val="Hyperlink"/>
            <w:rFonts w:cs="Calibri"/>
          </w:rPr>
          <w:t>www.health.state.mn.us/divs/idepc/diseases/measles/hcp/index.html</w:t>
        </w:r>
      </w:hyperlink>
      <w:r w:rsidRPr="00EA4710">
        <w:rPr>
          <w:rFonts w:cs="Calibri"/>
          <w:color w:val="000000"/>
        </w:rPr>
        <w:t xml:space="preserve">). </w:t>
      </w:r>
    </w:p>
    <w:p w:rsidR="00835874" w:rsidRDefault="00835874" w:rsidP="00835874">
      <w:pPr>
        <w:autoSpaceDE w:val="0"/>
        <w:autoSpaceDN w:val="0"/>
        <w:adjustRightInd w:val="0"/>
        <w:rPr>
          <w:rFonts w:cs="Calibri"/>
          <w:color w:val="000000"/>
        </w:rPr>
      </w:pPr>
      <w:r w:rsidRPr="00EA4710">
        <w:rPr>
          <w:rFonts w:cs="Calibri"/>
          <w:b/>
          <w:color w:val="000000"/>
        </w:rPr>
        <w:t>Remember to obtain specimens from symptomatic patients for PCR testing.</w:t>
      </w:r>
      <w:r>
        <w:rPr>
          <w:rFonts w:cs="Calibri"/>
          <w:b/>
          <w:color w:val="000000"/>
        </w:rPr>
        <w:t xml:space="preserve"> </w:t>
      </w:r>
      <w:r>
        <w:rPr>
          <w:rFonts w:cs="Calibri"/>
          <w:color w:val="000000"/>
        </w:rPr>
        <w:t>Measles should be suspected in any person with fever and rash. In general,</w:t>
      </w:r>
      <w:r w:rsidRPr="00EA4710">
        <w:rPr>
          <w:rFonts w:cs="Calibri"/>
          <w:color w:val="000000"/>
        </w:rPr>
        <w:t xml:space="preserve"> </w:t>
      </w:r>
      <w:r>
        <w:rPr>
          <w:rFonts w:cs="Calibri"/>
          <w:color w:val="000000"/>
        </w:rPr>
        <w:t>testing should be performed after the onset of rash</w:t>
      </w:r>
      <w:r w:rsidRPr="00EA4710">
        <w:rPr>
          <w:rFonts w:cs="Calibri"/>
          <w:color w:val="000000"/>
        </w:rPr>
        <w:t xml:space="preserve"> to</w:t>
      </w:r>
      <w:r>
        <w:rPr>
          <w:rFonts w:cs="Calibri"/>
          <w:color w:val="000000"/>
        </w:rPr>
        <w:t xml:space="preserve"> reduce the possibility of</w:t>
      </w:r>
      <w:r w:rsidRPr="00EA4710">
        <w:rPr>
          <w:rFonts w:cs="Calibri"/>
          <w:color w:val="000000"/>
        </w:rPr>
        <w:t xml:space="preserve"> false-negative results.</w:t>
      </w:r>
      <w:r>
        <w:rPr>
          <w:rFonts w:cs="Calibri"/>
          <w:color w:val="000000"/>
        </w:rPr>
        <w:t xml:space="preserve"> If an individual’s exposure history and symptoms are concerning for measles, but rash has not yet appeared, contact MDH (651-201-5414) for assistance regarding testing decisions. S</w:t>
      </w:r>
      <w:r w:rsidRPr="00EA4710">
        <w:rPr>
          <w:rFonts w:cs="Calibri"/>
          <w:color w:val="000000"/>
        </w:rPr>
        <w:t xml:space="preserve">ee </w:t>
      </w:r>
      <w:hyperlink r:id="rId15" w:history="1">
        <w:r w:rsidRPr="00C16BE4">
          <w:rPr>
            <w:rStyle w:val="Hyperlink"/>
            <w:rFonts w:cs="Calibri"/>
          </w:rPr>
          <w:t>Lab Testing for Measles at MDH Public Health Laboratory</w:t>
        </w:r>
      </w:hyperlink>
      <w:r w:rsidRPr="00EA4710">
        <w:rPr>
          <w:rFonts w:cs="Calibri"/>
          <w:color w:val="000000"/>
        </w:rPr>
        <w:t xml:space="preserve"> (</w:t>
      </w:r>
      <w:hyperlink r:id="rId16" w:history="1">
        <w:r w:rsidRPr="00D363DB">
          <w:rPr>
            <w:rStyle w:val="Hyperlink"/>
            <w:rFonts w:cs="Calibri"/>
          </w:rPr>
          <w:t>www.health.state.mn.us/divs/idepc/diseases/measles/hcp/labtesting.html</w:t>
        </w:r>
      </w:hyperlink>
      <w:r w:rsidRPr="00EA4710">
        <w:rPr>
          <w:rFonts w:cs="Calibri"/>
          <w:color w:val="000000"/>
        </w:rPr>
        <w:t xml:space="preserve">) for more information. </w:t>
      </w:r>
    </w:p>
    <w:p w:rsidR="00835874" w:rsidRDefault="00835874" w:rsidP="00835874">
      <w:r w:rsidRPr="00EA4710">
        <w:rPr>
          <w:rFonts w:cs="Calibri"/>
          <w:color w:val="000000"/>
        </w:rPr>
        <w:lastRenderedPageBreak/>
        <w:t xml:space="preserve">A copy of this HAN is available in PDF and Word format at </w:t>
      </w:r>
      <w:hyperlink r:id="rId17" w:history="1">
        <w:r w:rsidRPr="0097355C">
          <w:rPr>
            <w:rStyle w:val="Hyperlink"/>
            <w:rFonts w:cs="Calibri"/>
          </w:rPr>
          <w:t>www.health.state.mn.us/han</w:t>
        </w:r>
      </w:hyperlink>
      <w:r w:rsidRPr="00EA4710">
        <w:rPr>
          <w:rFonts w:cs="Calibri"/>
          <w:color w:val="000000"/>
        </w:rPr>
        <w:t>. The content of this message is intended for public health and health care personnel and response partners who have a need to know the information to perform their duties.</w:t>
      </w:r>
    </w:p>
    <w:sectPr w:rsidR="00835874" w:rsidSect="00CF0C93">
      <w:head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92" w:rsidRDefault="00B44792" w:rsidP="00DA46F7">
      <w:pPr>
        <w:spacing w:after="0"/>
      </w:pPr>
      <w:r>
        <w:separator/>
      </w:r>
    </w:p>
  </w:endnote>
  <w:endnote w:type="continuationSeparator" w:id="0">
    <w:p w:rsidR="00B44792" w:rsidRDefault="00B44792" w:rsidP="00DA4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92" w:rsidRDefault="00B44792" w:rsidP="00DA46F7">
      <w:pPr>
        <w:spacing w:after="0"/>
      </w:pPr>
      <w:r>
        <w:separator/>
      </w:r>
    </w:p>
  </w:footnote>
  <w:footnote w:type="continuationSeparator" w:id="0">
    <w:p w:rsidR="00B44792" w:rsidRDefault="00B44792" w:rsidP="00DA46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90EEF"/>
    <w:multiLevelType w:val="hybridMultilevel"/>
    <w:tmpl w:val="246ED8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758B1"/>
    <w:multiLevelType w:val="hybridMultilevel"/>
    <w:tmpl w:val="B1D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13946"/>
    <w:multiLevelType w:val="hybridMultilevel"/>
    <w:tmpl w:val="F28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B3D7E"/>
    <w:multiLevelType w:val="multilevel"/>
    <w:tmpl w:val="8CD65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D2D02"/>
    <w:multiLevelType w:val="hybridMultilevel"/>
    <w:tmpl w:val="C748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9074A1"/>
    <w:multiLevelType w:val="multilevel"/>
    <w:tmpl w:val="1DCEA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861A3D"/>
    <w:multiLevelType w:val="multilevel"/>
    <w:tmpl w:val="9866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B5F08"/>
    <w:multiLevelType w:val="hybridMultilevel"/>
    <w:tmpl w:val="F20420C0"/>
    <w:lvl w:ilvl="0" w:tplc="E9ECC7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1"/>
  </w:num>
  <w:num w:numId="3">
    <w:abstractNumId w:val="4"/>
  </w:num>
  <w:num w:numId="4">
    <w:abstractNumId w:val="0"/>
  </w:num>
  <w:num w:numId="5">
    <w:abstractNumId w:val="15"/>
  </w:num>
  <w:num w:numId="6">
    <w:abstractNumId w:val="16"/>
  </w:num>
  <w:num w:numId="7">
    <w:abstractNumId w:val="27"/>
  </w:num>
  <w:num w:numId="8">
    <w:abstractNumId w:val="5"/>
  </w:num>
  <w:num w:numId="9">
    <w:abstractNumId w:val="2"/>
  </w:num>
  <w:num w:numId="10">
    <w:abstractNumId w:val="20"/>
  </w:num>
  <w:num w:numId="11">
    <w:abstractNumId w:val="23"/>
  </w:num>
  <w:num w:numId="12">
    <w:abstractNumId w:val="14"/>
  </w:num>
  <w:num w:numId="13">
    <w:abstractNumId w:val="12"/>
  </w:num>
  <w:num w:numId="14">
    <w:abstractNumId w:val="22"/>
  </w:num>
  <w:num w:numId="15">
    <w:abstractNumId w:val="21"/>
  </w:num>
  <w:num w:numId="16">
    <w:abstractNumId w:val="29"/>
  </w:num>
  <w:num w:numId="17">
    <w:abstractNumId w:val="7"/>
  </w:num>
  <w:num w:numId="18">
    <w:abstractNumId w:val="19"/>
  </w:num>
  <w:num w:numId="19">
    <w:abstractNumId w:val="9"/>
  </w:num>
  <w:num w:numId="20">
    <w:abstractNumId w:val="1"/>
  </w:num>
  <w:num w:numId="21">
    <w:abstractNumId w:val="12"/>
  </w:num>
  <w:num w:numId="22">
    <w:abstractNumId w:val="8"/>
  </w:num>
  <w:num w:numId="23">
    <w:abstractNumId w:val="10"/>
  </w:num>
  <w:num w:numId="24">
    <w:abstractNumId w:val="3"/>
  </w:num>
  <w:num w:numId="25">
    <w:abstractNumId w:val="30"/>
  </w:num>
  <w:num w:numId="26">
    <w:abstractNumId w:val="6"/>
  </w:num>
  <w:num w:numId="27">
    <w:abstractNumId w:val="25"/>
  </w:num>
  <w:num w:numId="28">
    <w:abstractNumId w:val="28"/>
  </w:num>
  <w:num w:numId="29">
    <w:abstractNumId w:val="26"/>
  </w:num>
  <w:num w:numId="30">
    <w:abstractNumId w:val="18"/>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1470C"/>
    <w:rsid w:val="000166B9"/>
    <w:rsid w:val="00031A22"/>
    <w:rsid w:val="0003212B"/>
    <w:rsid w:val="00046710"/>
    <w:rsid w:val="0006249F"/>
    <w:rsid w:val="00070AA5"/>
    <w:rsid w:val="00090A2A"/>
    <w:rsid w:val="000B19B5"/>
    <w:rsid w:val="000D3CCD"/>
    <w:rsid w:val="000E1E24"/>
    <w:rsid w:val="000E253B"/>
    <w:rsid w:val="00142BE8"/>
    <w:rsid w:val="00174D71"/>
    <w:rsid w:val="001A2FD7"/>
    <w:rsid w:val="001A4175"/>
    <w:rsid w:val="001C09CE"/>
    <w:rsid w:val="001C5A4F"/>
    <w:rsid w:val="001D079C"/>
    <w:rsid w:val="001F1E57"/>
    <w:rsid w:val="0021466D"/>
    <w:rsid w:val="00233EFC"/>
    <w:rsid w:val="0026066D"/>
    <w:rsid w:val="00265ECE"/>
    <w:rsid w:val="00294137"/>
    <w:rsid w:val="002A091A"/>
    <w:rsid w:val="002A2A8E"/>
    <w:rsid w:val="002A559C"/>
    <w:rsid w:val="002B6B45"/>
    <w:rsid w:val="002C0389"/>
    <w:rsid w:val="002D5161"/>
    <w:rsid w:val="002E388B"/>
    <w:rsid w:val="002F524A"/>
    <w:rsid w:val="00315CE5"/>
    <w:rsid w:val="003228A6"/>
    <w:rsid w:val="0032619F"/>
    <w:rsid w:val="00330470"/>
    <w:rsid w:val="00343D1C"/>
    <w:rsid w:val="00344D7A"/>
    <w:rsid w:val="003646EC"/>
    <w:rsid w:val="0036747F"/>
    <w:rsid w:val="003755DA"/>
    <w:rsid w:val="00382420"/>
    <w:rsid w:val="00392877"/>
    <w:rsid w:val="00393350"/>
    <w:rsid w:val="00397B90"/>
    <w:rsid w:val="003A1D11"/>
    <w:rsid w:val="003A5DF8"/>
    <w:rsid w:val="003C5408"/>
    <w:rsid w:val="003E433E"/>
    <w:rsid w:val="003F76C0"/>
    <w:rsid w:val="00403DFD"/>
    <w:rsid w:val="0041283D"/>
    <w:rsid w:val="00437781"/>
    <w:rsid w:val="004477F2"/>
    <w:rsid w:val="004502DD"/>
    <w:rsid w:val="00467421"/>
    <w:rsid w:val="00481109"/>
    <w:rsid w:val="0048503C"/>
    <w:rsid w:val="00497673"/>
    <w:rsid w:val="004B0782"/>
    <w:rsid w:val="004B08F5"/>
    <w:rsid w:val="004D3F20"/>
    <w:rsid w:val="00505AED"/>
    <w:rsid w:val="0051500C"/>
    <w:rsid w:val="005336D0"/>
    <w:rsid w:val="00535155"/>
    <w:rsid w:val="0056175B"/>
    <w:rsid w:val="005A318A"/>
    <w:rsid w:val="005B3DA7"/>
    <w:rsid w:val="005F0A3F"/>
    <w:rsid w:val="00603CB0"/>
    <w:rsid w:val="00615760"/>
    <w:rsid w:val="0062347B"/>
    <w:rsid w:val="00637CED"/>
    <w:rsid w:val="006429C3"/>
    <w:rsid w:val="006556AD"/>
    <w:rsid w:val="00656A5D"/>
    <w:rsid w:val="006706A6"/>
    <w:rsid w:val="0068600F"/>
    <w:rsid w:val="006C295D"/>
    <w:rsid w:val="006C6E47"/>
    <w:rsid w:val="006D7D86"/>
    <w:rsid w:val="006F7093"/>
    <w:rsid w:val="00710767"/>
    <w:rsid w:val="00717A43"/>
    <w:rsid w:val="00746B8D"/>
    <w:rsid w:val="007525F9"/>
    <w:rsid w:val="0075689C"/>
    <w:rsid w:val="007628F1"/>
    <w:rsid w:val="00770094"/>
    <w:rsid w:val="00775B0F"/>
    <w:rsid w:val="00776617"/>
    <w:rsid w:val="0078378C"/>
    <w:rsid w:val="007A0BD9"/>
    <w:rsid w:val="007B5F91"/>
    <w:rsid w:val="007C1567"/>
    <w:rsid w:val="007D191C"/>
    <w:rsid w:val="007D41B8"/>
    <w:rsid w:val="00820F43"/>
    <w:rsid w:val="00824B51"/>
    <w:rsid w:val="00835874"/>
    <w:rsid w:val="00843621"/>
    <w:rsid w:val="0084372C"/>
    <w:rsid w:val="008515E0"/>
    <w:rsid w:val="00867D30"/>
    <w:rsid w:val="00871E34"/>
    <w:rsid w:val="00876DD7"/>
    <w:rsid w:val="00882456"/>
    <w:rsid w:val="0088707D"/>
    <w:rsid w:val="00887FEF"/>
    <w:rsid w:val="008E1DDD"/>
    <w:rsid w:val="008E3A09"/>
    <w:rsid w:val="008F2F74"/>
    <w:rsid w:val="00914003"/>
    <w:rsid w:val="00920DAA"/>
    <w:rsid w:val="009537DD"/>
    <w:rsid w:val="0096006D"/>
    <w:rsid w:val="00960F11"/>
    <w:rsid w:val="00962F05"/>
    <w:rsid w:val="009740F9"/>
    <w:rsid w:val="00990143"/>
    <w:rsid w:val="00992094"/>
    <w:rsid w:val="00996B8E"/>
    <w:rsid w:val="009A2A40"/>
    <w:rsid w:val="009A38F2"/>
    <w:rsid w:val="009C1193"/>
    <w:rsid w:val="009C14F4"/>
    <w:rsid w:val="00A0539B"/>
    <w:rsid w:val="00A1609A"/>
    <w:rsid w:val="00A35305"/>
    <w:rsid w:val="00A404A8"/>
    <w:rsid w:val="00A70CF8"/>
    <w:rsid w:val="00A910CE"/>
    <w:rsid w:val="00AA4CAB"/>
    <w:rsid w:val="00AB0B99"/>
    <w:rsid w:val="00AB0D2E"/>
    <w:rsid w:val="00AC5873"/>
    <w:rsid w:val="00AF238B"/>
    <w:rsid w:val="00B00702"/>
    <w:rsid w:val="00B43866"/>
    <w:rsid w:val="00B44792"/>
    <w:rsid w:val="00B72108"/>
    <w:rsid w:val="00B7419D"/>
    <w:rsid w:val="00B92329"/>
    <w:rsid w:val="00BA7F31"/>
    <w:rsid w:val="00BB289D"/>
    <w:rsid w:val="00BC2D21"/>
    <w:rsid w:val="00BD205A"/>
    <w:rsid w:val="00BD6D43"/>
    <w:rsid w:val="00BD6EE5"/>
    <w:rsid w:val="00BE53D9"/>
    <w:rsid w:val="00BE68CA"/>
    <w:rsid w:val="00BF333F"/>
    <w:rsid w:val="00C15444"/>
    <w:rsid w:val="00C22FF8"/>
    <w:rsid w:val="00C439D0"/>
    <w:rsid w:val="00C7768A"/>
    <w:rsid w:val="00C810C6"/>
    <w:rsid w:val="00C9749E"/>
    <w:rsid w:val="00CA7149"/>
    <w:rsid w:val="00CC0E3A"/>
    <w:rsid w:val="00CF0C93"/>
    <w:rsid w:val="00CF61C3"/>
    <w:rsid w:val="00D26952"/>
    <w:rsid w:val="00D32BDE"/>
    <w:rsid w:val="00D4193B"/>
    <w:rsid w:val="00D45EE3"/>
    <w:rsid w:val="00D85F9B"/>
    <w:rsid w:val="00DA346F"/>
    <w:rsid w:val="00DA400A"/>
    <w:rsid w:val="00DA46F7"/>
    <w:rsid w:val="00DB446C"/>
    <w:rsid w:val="00DB528E"/>
    <w:rsid w:val="00DB659F"/>
    <w:rsid w:val="00DC011E"/>
    <w:rsid w:val="00DC4B2D"/>
    <w:rsid w:val="00DE6704"/>
    <w:rsid w:val="00E53182"/>
    <w:rsid w:val="00E56C81"/>
    <w:rsid w:val="00E74A1A"/>
    <w:rsid w:val="00E930FA"/>
    <w:rsid w:val="00E940B8"/>
    <w:rsid w:val="00EB1966"/>
    <w:rsid w:val="00EB5142"/>
    <w:rsid w:val="00EB5915"/>
    <w:rsid w:val="00EE32EC"/>
    <w:rsid w:val="00EF2262"/>
    <w:rsid w:val="00EF6769"/>
    <w:rsid w:val="00EF79F9"/>
    <w:rsid w:val="00F23D0D"/>
    <w:rsid w:val="00F31287"/>
    <w:rsid w:val="00F47D99"/>
    <w:rsid w:val="00F52BB4"/>
    <w:rsid w:val="00F556B2"/>
    <w:rsid w:val="00F64A49"/>
    <w:rsid w:val="00F64ABF"/>
    <w:rsid w:val="00F651C5"/>
    <w:rsid w:val="00F81B2B"/>
    <w:rsid w:val="00F91A05"/>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69"/>
    <w:pPr>
      <w:spacing w:line="240" w:lineRule="auto"/>
    </w:pPr>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20391351">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675693425">
      <w:bodyDiv w:val="1"/>
      <w:marLeft w:val="0"/>
      <w:marRight w:val="0"/>
      <w:marTop w:val="0"/>
      <w:marBottom w:val="0"/>
      <w:divBdr>
        <w:top w:val="none" w:sz="0" w:space="0" w:color="auto"/>
        <w:left w:val="none" w:sz="0" w:space="0" w:color="auto"/>
        <w:bottom w:val="none" w:sz="0" w:space="0" w:color="auto"/>
        <w:right w:val="none" w:sz="0" w:space="0" w:color="auto"/>
      </w:divBdr>
    </w:div>
    <w:div w:id="754058841">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822283957">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divs/idepc/diseases/measles/hcp/index.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miichelp@state.mn.us" TargetMode="External"/><Relationship Id="rId17" Type="http://schemas.openxmlformats.org/officeDocument/2006/relationships/hyperlink" Target="http://www.health.state.mn.us/han" TargetMode="External"/><Relationship Id="rId2" Type="http://schemas.openxmlformats.org/officeDocument/2006/relationships/numbering" Target="numbering.xml"/><Relationship Id="rId16" Type="http://schemas.openxmlformats.org/officeDocument/2006/relationships/hyperlink" Target="http://www.health.state.mn.us/divs/idepc/diseases/measles/hcp/labtest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idepc/immunize/registry/map.html" TargetMode="External"/><Relationship Id="rId5" Type="http://schemas.openxmlformats.org/officeDocument/2006/relationships/webSettings" Target="webSettings.xml"/><Relationship Id="rId15" Type="http://schemas.openxmlformats.org/officeDocument/2006/relationships/hyperlink" Target="http://www.health.state.mn.us/divs/idepc/diseases/measles/hcp/labtesting.html" TargetMode="External"/><Relationship Id="rId10" Type="http://schemas.openxmlformats.org/officeDocument/2006/relationships/hyperlink" Target="http://www.health.state.mn.us/divs/idepc/diseases/meas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state.mn.us/divs/idepc/diseases/measles/hcp/outbrkvax.html" TargetMode="External"/><Relationship Id="rId14" Type="http://schemas.openxmlformats.org/officeDocument/2006/relationships/hyperlink" Target="http://www.health.state.mn.us/divs/idepc/diseases/measles/hc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DC53-8EFE-48B5-9255-E1B8F207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3991</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Health Advisory: Measles Outbreak Expanded Recommendations</vt:lpstr>
    </vt:vector>
  </TitlesOfParts>
  <Company>Minnesota Department of Health</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Measles Outbreak Expanded Recommendations</dc:title>
  <dc:creator>Minnesota Department of Health</dc:creator>
  <cp:lastModifiedBy>McAdams, Toby (MDH)</cp:lastModifiedBy>
  <cp:revision>4</cp:revision>
  <cp:lastPrinted>2017-04-17T19:19:00Z</cp:lastPrinted>
  <dcterms:created xsi:type="dcterms:W3CDTF">2017-05-04T17:34:00Z</dcterms:created>
  <dcterms:modified xsi:type="dcterms:W3CDTF">2017-05-04T17:54:00Z</dcterms:modified>
</cp:coreProperties>
</file>